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168" w:rsidRPr="00885C15" w:rsidRDefault="00553168" w:rsidP="00553168">
      <w:pPr>
        <w:pStyle w:val="Heading1"/>
        <w:rPr>
          <w:rFonts w:ascii="Calibri" w:hAnsi="Calibri" w:cs="Calibri"/>
          <w:bCs/>
          <w:sz w:val="22"/>
          <w:szCs w:val="22"/>
        </w:rPr>
      </w:pPr>
      <w:bookmarkStart w:id="0" w:name="_Toc375922445"/>
      <w:r w:rsidRPr="00885C15">
        <w:rPr>
          <w:rFonts w:ascii="Calibri" w:hAnsi="Calibri" w:cs="Calibri"/>
          <w:bCs/>
          <w:sz w:val="22"/>
          <w:szCs w:val="22"/>
        </w:rPr>
        <w:t>Commonly Asked Questions</w:t>
      </w:r>
      <w:bookmarkStart w:id="1" w:name="_Toc438625363"/>
      <w:bookmarkStart w:id="2" w:name="_Toc438625739"/>
      <w:bookmarkStart w:id="3" w:name="_Toc438625956"/>
      <w:bookmarkStart w:id="4" w:name="_Toc438626056"/>
      <w:bookmarkStart w:id="5" w:name="_Toc438871296"/>
      <w:bookmarkEnd w:id="0"/>
      <w:r w:rsidRPr="00885C15">
        <w:rPr>
          <w:rFonts w:ascii="Calibri" w:hAnsi="Calibri" w:cs="Calibri"/>
          <w:bCs/>
          <w:sz w:val="22"/>
          <w:szCs w:val="22"/>
        </w:rPr>
        <w:t xml:space="preserve"> </w:t>
      </w:r>
    </w:p>
    <w:p w:rsidR="00553168" w:rsidRPr="00885C15" w:rsidRDefault="00553168" w:rsidP="00553168">
      <w:pPr>
        <w:pStyle w:val="Heading1"/>
        <w:rPr>
          <w:rFonts w:ascii="Calibri" w:hAnsi="Calibri" w:cs="Calibri"/>
          <w:bCs/>
          <w:sz w:val="22"/>
          <w:szCs w:val="22"/>
        </w:rPr>
      </w:pPr>
      <w:bookmarkStart w:id="6" w:name="_Toc438970054"/>
      <w:bookmarkStart w:id="7" w:name="_Toc92606560"/>
      <w:bookmarkStart w:id="8" w:name="_Toc155663347"/>
      <w:bookmarkStart w:id="9" w:name="_Toc155665384"/>
      <w:bookmarkStart w:id="10" w:name="_Toc218916772"/>
      <w:bookmarkStart w:id="11" w:name="_Toc250472268"/>
      <w:bookmarkStart w:id="12" w:name="_Toc375922446"/>
      <w:r w:rsidRPr="00885C15">
        <w:rPr>
          <w:rFonts w:ascii="Calibri" w:hAnsi="Calibri" w:cs="Calibri"/>
          <w:bCs/>
          <w:sz w:val="22"/>
          <w:szCs w:val="22"/>
        </w:rPr>
        <w:t>About the National Recognition Awards</w:t>
      </w:r>
      <w:bookmarkEnd w:id="1"/>
      <w:bookmarkEnd w:id="2"/>
      <w:bookmarkEnd w:id="3"/>
      <w:bookmarkEnd w:id="4"/>
      <w:bookmarkEnd w:id="5"/>
      <w:bookmarkEnd w:id="6"/>
      <w:bookmarkEnd w:id="7"/>
      <w:bookmarkEnd w:id="8"/>
      <w:bookmarkEnd w:id="9"/>
      <w:bookmarkEnd w:id="10"/>
      <w:bookmarkEnd w:id="11"/>
      <w:bookmarkEnd w:id="12"/>
    </w:p>
    <w:p w:rsidR="00553168" w:rsidRPr="00885C15" w:rsidRDefault="00553168" w:rsidP="00553168">
      <w:pPr>
        <w:rPr>
          <w:rFonts w:ascii="Calibri" w:hAnsi="Calibri" w:cs="Calibri"/>
          <w:sz w:val="22"/>
          <w:szCs w:val="22"/>
        </w:rPr>
      </w:pPr>
    </w:p>
    <w:p w:rsidR="00553168" w:rsidRPr="00885C15" w:rsidRDefault="00553168" w:rsidP="00553168">
      <w:pPr>
        <w:widowControl/>
        <w:tabs>
          <w:tab w:val="left" w:pos="0"/>
        </w:tabs>
        <w:spacing w:line="227" w:lineRule="auto"/>
        <w:ind w:right="720"/>
        <w:rPr>
          <w:rFonts w:ascii="Calibri" w:hAnsi="Calibri" w:cs="Calibri"/>
          <w:sz w:val="22"/>
          <w:szCs w:val="22"/>
        </w:rPr>
      </w:pPr>
    </w:p>
    <w:p w:rsidR="00553168" w:rsidRPr="00885C15" w:rsidRDefault="00553168" w:rsidP="00553168">
      <w:pPr>
        <w:widowControl/>
        <w:tabs>
          <w:tab w:val="left" w:pos="0"/>
        </w:tabs>
        <w:spacing w:line="227" w:lineRule="auto"/>
        <w:ind w:left="720" w:hanging="720"/>
        <w:rPr>
          <w:rFonts w:ascii="Calibri" w:hAnsi="Calibri" w:cs="Calibri"/>
          <w:sz w:val="22"/>
          <w:szCs w:val="22"/>
        </w:rPr>
      </w:pPr>
      <w:r w:rsidRPr="00885C15">
        <w:rPr>
          <w:rFonts w:ascii="Calibri" w:hAnsi="Calibri" w:cs="Calibri"/>
          <w:b/>
          <w:sz w:val="22"/>
          <w:szCs w:val="22"/>
        </w:rPr>
        <w:t>Q:</w:t>
      </w:r>
      <w:r w:rsidRPr="00885C15">
        <w:rPr>
          <w:rFonts w:ascii="Calibri" w:hAnsi="Calibri" w:cs="Calibri"/>
          <w:sz w:val="22"/>
          <w:szCs w:val="22"/>
        </w:rPr>
        <w:tab/>
        <w:t>Who was Dora Maxwell?</w:t>
      </w:r>
    </w:p>
    <w:p w:rsidR="00553168" w:rsidRPr="00885C15" w:rsidRDefault="00553168" w:rsidP="00553168">
      <w:pPr>
        <w:widowControl/>
        <w:tabs>
          <w:tab w:val="left" w:pos="0"/>
        </w:tabs>
        <w:spacing w:line="227" w:lineRule="auto"/>
        <w:rPr>
          <w:rFonts w:ascii="Calibri" w:hAnsi="Calibri" w:cs="Calibri"/>
          <w:sz w:val="22"/>
          <w:szCs w:val="22"/>
        </w:rPr>
      </w:pPr>
    </w:p>
    <w:p w:rsidR="00553168" w:rsidRPr="00885C15" w:rsidRDefault="00553168" w:rsidP="00553168">
      <w:pPr>
        <w:widowControl/>
        <w:tabs>
          <w:tab w:val="left" w:pos="0"/>
        </w:tabs>
        <w:spacing w:line="227" w:lineRule="auto"/>
        <w:ind w:left="720" w:hanging="720"/>
        <w:rPr>
          <w:rFonts w:ascii="Calibri" w:hAnsi="Calibri" w:cs="Calibri"/>
          <w:sz w:val="22"/>
          <w:szCs w:val="22"/>
        </w:rPr>
      </w:pPr>
      <w:r w:rsidRPr="00885C15">
        <w:rPr>
          <w:rFonts w:ascii="Calibri" w:hAnsi="Calibri" w:cs="Calibri"/>
          <w:b/>
          <w:sz w:val="22"/>
          <w:szCs w:val="22"/>
        </w:rPr>
        <w:t>A:</w:t>
      </w:r>
      <w:r w:rsidRPr="00885C15">
        <w:rPr>
          <w:rFonts w:ascii="Calibri" w:hAnsi="Calibri" w:cs="Calibri"/>
          <w:sz w:val="22"/>
          <w:szCs w:val="22"/>
        </w:rPr>
        <w:tab/>
        <w:t>Dora Maxwell was an early credit union pioneer.  One of the original signers of CUNA's constitution at Estes Park, Colorado, she worked as an organizer for the movement's trade association (then called the Credit Union National Extension Bureau) and held numerous volunteer positions at the local and national level.  In addition to organizing hundreds of credit unions, she developed volunteer organizer clubs and worked with organizations on behalf of the poor.</w:t>
      </w:r>
    </w:p>
    <w:p w:rsidR="00553168" w:rsidRPr="00885C15" w:rsidRDefault="00553168" w:rsidP="00553168">
      <w:pPr>
        <w:widowControl/>
        <w:tabs>
          <w:tab w:val="left" w:pos="0"/>
        </w:tabs>
        <w:spacing w:line="227" w:lineRule="auto"/>
        <w:ind w:left="720" w:hanging="720"/>
        <w:rPr>
          <w:rFonts w:ascii="Calibri" w:hAnsi="Calibri" w:cs="Calibri"/>
          <w:sz w:val="22"/>
          <w:szCs w:val="22"/>
        </w:rPr>
      </w:pPr>
    </w:p>
    <w:p w:rsidR="00553168" w:rsidRPr="00885C15" w:rsidRDefault="00553168" w:rsidP="00553168">
      <w:pPr>
        <w:widowControl/>
        <w:tabs>
          <w:tab w:val="left" w:pos="0"/>
        </w:tabs>
        <w:spacing w:line="227" w:lineRule="auto"/>
        <w:ind w:left="720" w:hanging="720"/>
        <w:rPr>
          <w:rFonts w:ascii="Calibri" w:hAnsi="Calibri" w:cs="Calibri"/>
          <w:sz w:val="22"/>
          <w:szCs w:val="22"/>
        </w:rPr>
      </w:pPr>
      <w:r w:rsidRPr="00885C15">
        <w:rPr>
          <w:rFonts w:ascii="Calibri" w:hAnsi="Calibri" w:cs="Calibri"/>
          <w:b/>
          <w:sz w:val="22"/>
          <w:szCs w:val="22"/>
        </w:rPr>
        <w:t>Q:</w:t>
      </w:r>
      <w:r w:rsidRPr="00885C15">
        <w:rPr>
          <w:rFonts w:ascii="Calibri" w:hAnsi="Calibri" w:cs="Calibri"/>
          <w:sz w:val="22"/>
          <w:szCs w:val="22"/>
        </w:rPr>
        <w:tab/>
        <w:t>Who was Louise Herring and why is the award named for her?</w:t>
      </w:r>
    </w:p>
    <w:p w:rsidR="00553168" w:rsidRPr="00885C15" w:rsidRDefault="00553168" w:rsidP="00553168">
      <w:pPr>
        <w:widowControl/>
        <w:tabs>
          <w:tab w:val="left" w:pos="0"/>
        </w:tabs>
        <w:spacing w:line="227" w:lineRule="auto"/>
        <w:rPr>
          <w:rFonts w:ascii="Calibri" w:hAnsi="Calibri" w:cs="Calibri"/>
          <w:sz w:val="22"/>
          <w:szCs w:val="22"/>
        </w:rPr>
      </w:pPr>
    </w:p>
    <w:p w:rsidR="00553168" w:rsidRPr="00885C15" w:rsidRDefault="00553168" w:rsidP="00553168">
      <w:pPr>
        <w:widowControl/>
        <w:tabs>
          <w:tab w:val="left" w:pos="0"/>
        </w:tabs>
        <w:spacing w:line="227" w:lineRule="auto"/>
        <w:ind w:left="720" w:hanging="720"/>
        <w:rPr>
          <w:rFonts w:ascii="Calibri" w:hAnsi="Calibri" w:cs="Calibri"/>
          <w:sz w:val="22"/>
          <w:szCs w:val="22"/>
        </w:rPr>
      </w:pPr>
      <w:r w:rsidRPr="00885C15">
        <w:rPr>
          <w:rFonts w:ascii="Calibri" w:hAnsi="Calibri" w:cs="Calibri"/>
          <w:b/>
          <w:sz w:val="22"/>
          <w:szCs w:val="22"/>
        </w:rPr>
        <w:t>A:</w:t>
      </w:r>
      <w:r w:rsidRPr="00885C15">
        <w:rPr>
          <w:rFonts w:ascii="Calibri" w:hAnsi="Calibri" w:cs="Calibri"/>
          <w:sz w:val="22"/>
          <w:szCs w:val="22"/>
        </w:rPr>
        <w:tab/>
        <w:t xml:space="preserve">Louise Herring was an active supporter, organizer and champion of credit unions.  She was the </w:t>
      </w:r>
      <w:smartTag w:uri="urn:schemas-microsoft-com:office:smarttags" w:element="State">
        <w:r w:rsidRPr="00885C15">
          <w:rPr>
            <w:rFonts w:ascii="Calibri" w:hAnsi="Calibri" w:cs="Calibri"/>
            <w:sz w:val="22"/>
            <w:szCs w:val="22"/>
          </w:rPr>
          <w:t>Ohio</w:t>
        </w:r>
      </w:smartTag>
      <w:r w:rsidRPr="00885C15">
        <w:rPr>
          <w:rFonts w:ascii="Calibri" w:hAnsi="Calibri" w:cs="Calibri"/>
          <w:sz w:val="22"/>
          <w:szCs w:val="22"/>
        </w:rPr>
        <w:t xml:space="preserve"> delegate to the 1934 national credit union conference in </w:t>
      </w:r>
      <w:smartTag w:uri="urn:schemas-microsoft-com:office:smarttags" w:element="place">
        <w:smartTag w:uri="urn:schemas-microsoft-com:office:smarttags" w:element="City">
          <w:r w:rsidRPr="00885C15">
            <w:rPr>
              <w:rFonts w:ascii="Calibri" w:hAnsi="Calibri" w:cs="Calibri"/>
              <w:sz w:val="22"/>
              <w:szCs w:val="22"/>
            </w:rPr>
            <w:t>Estes Park</w:t>
          </w:r>
        </w:smartTag>
        <w:r w:rsidRPr="00885C15">
          <w:rPr>
            <w:rFonts w:ascii="Calibri" w:hAnsi="Calibri" w:cs="Calibri"/>
            <w:sz w:val="22"/>
            <w:szCs w:val="22"/>
          </w:rPr>
          <w:t xml:space="preserve">, </w:t>
        </w:r>
        <w:smartTag w:uri="urn:schemas-microsoft-com:office:smarttags" w:element="State">
          <w:r w:rsidRPr="00885C15">
            <w:rPr>
              <w:rFonts w:ascii="Calibri" w:hAnsi="Calibri" w:cs="Calibri"/>
              <w:sz w:val="22"/>
              <w:szCs w:val="22"/>
            </w:rPr>
            <w:t>Colorado</w:t>
          </w:r>
        </w:smartTag>
      </w:smartTag>
      <w:r w:rsidRPr="00885C15">
        <w:rPr>
          <w:rFonts w:ascii="Calibri" w:hAnsi="Calibri" w:cs="Calibri"/>
          <w:sz w:val="22"/>
          <w:szCs w:val="22"/>
        </w:rPr>
        <w:t>, where she signed the original constitution for a national credit union association.  Louise Herring believed that credit unions should work in a practical manner to better people's lives.  She saw the credit union as more than just a financial institution.  In her own words, "The purpose of the credit union is to reform the financial system, so that everyone can have his place in the sun."</w:t>
      </w:r>
    </w:p>
    <w:p w:rsidR="00553168" w:rsidRPr="00885C15" w:rsidRDefault="00553168" w:rsidP="00553168">
      <w:pPr>
        <w:widowControl/>
        <w:tabs>
          <w:tab w:val="left" w:pos="0"/>
        </w:tabs>
        <w:spacing w:line="227" w:lineRule="auto"/>
        <w:ind w:left="720" w:right="720" w:hanging="720"/>
        <w:rPr>
          <w:rFonts w:ascii="Calibri" w:hAnsi="Calibri" w:cs="Calibri"/>
          <w:b/>
          <w:sz w:val="22"/>
          <w:szCs w:val="22"/>
        </w:rPr>
      </w:pPr>
    </w:p>
    <w:p w:rsidR="00553168" w:rsidRPr="00885C15" w:rsidRDefault="00553168" w:rsidP="00553168">
      <w:pPr>
        <w:widowControl/>
        <w:tabs>
          <w:tab w:val="left" w:pos="0"/>
        </w:tabs>
        <w:spacing w:line="227" w:lineRule="auto"/>
        <w:ind w:left="720" w:right="720" w:hanging="720"/>
        <w:rPr>
          <w:rFonts w:ascii="Calibri" w:hAnsi="Calibri" w:cs="Calibri"/>
          <w:sz w:val="22"/>
          <w:szCs w:val="22"/>
        </w:rPr>
      </w:pPr>
      <w:r w:rsidRPr="00885C15">
        <w:rPr>
          <w:rFonts w:ascii="Calibri" w:hAnsi="Calibri" w:cs="Calibri"/>
          <w:b/>
          <w:sz w:val="22"/>
          <w:szCs w:val="22"/>
        </w:rPr>
        <w:t>Q:</w:t>
      </w:r>
      <w:r w:rsidRPr="00885C15">
        <w:rPr>
          <w:rFonts w:ascii="Calibri" w:hAnsi="Calibri" w:cs="Calibri"/>
          <w:b/>
          <w:sz w:val="22"/>
          <w:szCs w:val="22"/>
        </w:rPr>
        <w:tab/>
      </w:r>
      <w:r w:rsidRPr="00885C15">
        <w:rPr>
          <w:rFonts w:ascii="Calibri" w:hAnsi="Calibri" w:cs="Calibri"/>
          <w:sz w:val="22"/>
          <w:szCs w:val="22"/>
        </w:rPr>
        <w:t>What time period do the award entries cover?</w:t>
      </w:r>
    </w:p>
    <w:p w:rsidR="00553168" w:rsidRPr="00885C15" w:rsidRDefault="00553168" w:rsidP="00553168">
      <w:pPr>
        <w:widowControl/>
        <w:tabs>
          <w:tab w:val="left" w:pos="0"/>
        </w:tabs>
        <w:spacing w:line="227" w:lineRule="auto"/>
        <w:ind w:right="720"/>
        <w:rPr>
          <w:rFonts w:ascii="Calibri" w:hAnsi="Calibri" w:cs="Calibri"/>
          <w:sz w:val="22"/>
          <w:szCs w:val="22"/>
        </w:rPr>
      </w:pPr>
    </w:p>
    <w:p w:rsidR="00553168" w:rsidRPr="00885C15" w:rsidRDefault="00553168" w:rsidP="00553168">
      <w:pPr>
        <w:widowControl/>
        <w:tabs>
          <w:tab w:val="left" w:pos="0"/>
        </w:tabs>
        <w:spacing w:line="227" w:lineRule="auto"/>
        <w:ind w:left="720" w:right="720" w:hanging="720"/>
        <w:rPr>
          <w:rFonts w:ascii="Calibri" w:hAnsi="Calibri" w:cs="Calibri"/>
          <w:sz w:val="22"/>
          <w:szCs w:val="22"/>
        </w:rPr>
      </w:pPr>
      <w:r w:rsidRPr="00885C15">
        <w:rPr>
          <w:rFonts w:ascii="Calibri" w:hAnsi="Calibri" w:cs="Calibri"/>
          <w:b/>
          <w:sz w:val="22"/>
          <w:szCs w:val="22"/>
        </w:rPr>
        <w:t>A:</w:t>
      </w:r>
      <w:r w:rsidRPr="00885C15">
        <w:rPr>
          <w:rFonts w:ascii="Calibri" w:hAnsi="Calibri" w:cs="Calibri"/>
          <w:b/>
          <w:sz w:val="22"/>
          <w:szCs w:val="22"/>
        </w:rPr>
        <w:tab/>
      </w:r>
      <w:r w:rsidRPr="00885C15">
        <w:rPr>
          <w:rFonts w:ascii="Calibri" w:hAnsi="Calibri" w:cs="Calibri"/>
          <w:sz w:val="22"/>
          <w:szCs w:val="22"/>
        </w:rPr>
        <w:t>Leagues determine any qualifying time frames.  In general, entries should cover the previous year's activities, but there are no exact deadlines prescribed.  A good rule of thumb is that entries submitted by the August 29, 2014, deadline should cover activities taking place between May 2013 and May 2014.</w:t>
      </w:r>
    </w:p>
    <w:p w:rsidR="00553168" w:rsidRPr="00885C15" w:rsidRDefault="00553168" w:rsidP="00553168">
      <w:pPr>
        <w:widowControl/>
        <w:tabs>
          <w:tab w:val="left" w:pos="0"/>
        </w:tabs>
        <w:spacing w:line="227" w:lineRule="auto"/>
        <w:ind w:right="720"/>
        <w:rPr>
          <w:rFonts w:ascii="Calibri" w:hAnsi="Calibri" w:cs="Calibri"/>
          <w:sz w:val="22"/>
          <w:szCs w:val="22"/>
        </w:rPr>
      </w:pPr>
    </w:p>
    <w:p w:rsidR="00553168" w:rsidRPr="00885C15" w:rsidRDefault="00553168" w:rsidP="00553168">
      <w:pPr>
        <w:widowControl/>
        <w:tabs>
          <w:tab w:val="left" w:pos="0"/>
        </w:tabs>
        <w:spacing w:line="227" w:lineRule="auto"/>
        <w:ind w:left="720" w:right="720" w:hanging="720"/>
        <w:rPr>
          <w:rFonts w:ascii="Calibri" w:hAnsi="Calibri" w:cs="Calibri"/>
          <w:sz w:val="22"/>
          <w:szCs w:val="22"/>
        </w:rPr>
      </w:pPr>
      <w:r w:rsidRPr="00885C15">
        <w:rPr>
          <w:rFonts w:ascii="Calibri" w:hAnsi="Calibri" w:cs="Calibri"/>
          <w:b/>
          <w:sz w:val="22"/>
          <w:szCs w:val="22"/>
        </w:rPr>
        <w:t>Q:</w:t>
      </w:r>
      <w:r w:rsidRPr="00885C15">
        <w:rPr>
          <w:rFonts w:ascii="Calibri" w:hAnsi="Calibri" w:cs="Calibri"/>
          <w:b/>
          <w:sz w:val="22"/>
          <w:szCs w:val="22"/>
        </w:rPr>
        <w:tab/>
      </w:r>
      <w:r w:rsidRPr="00885C15">
        <w:rPr>
          <w:rFonts w:ascii="Calibri" w:hAnsi="Calibri" w:cs="Calibri"/>
          <w:sz w:val="22"/>
          <w:szCs w:val="22"/>
        </w:rPr>
        <w:t>What's the difference between the Louise Herring Award and the Dora Maxwell Award?</w:t>
      </w:r>
    </w:p>
    <w:p w:rsidR="00553168" w:rsidRPr="00885C15" w:rsidRDefault="00553168" w:rsidP="00553168">
      <w:pPr>
        <w:widowControl/>
        <w:tabs>
          <w:tab w:val="left" w:pos="0"/>
        </w:tabs>
        <w:spacing w:line="227" w:lineRule="auto"/>
        <w:ind w:right="720"/>
        <w:rPr>
          <w:rFonts w:ascii="Calibri" w:hAnsi="Calibri" w:cs="Calibri"/>
          <w:sz w:val="22"/>
          <w:szCs w:val="22"/>
        </w:rPr>
      </w:pPr>
    </w:p>
    <w:p w:rsidR="00553168" w:rsidRPr="00885C15" w:rsidRDefault="00553168" w:rsidP="00553168">
      <w:pPr>
        <w:widowControl/>
        <w:tabs>
          <w:tab w:val="left" w:pos="0"/>
        </w:tabs>
        <w:spacing w:line="227" w:lineRule="auto"/>
        <w:ind w:left="720" w:right="720" w:hanging="720"/>
        <w:rPr>
          <w:rFonts w:ascii="Calibri" w:hAnsi="Calibri" w:cs="Calibri"/>
          <w:sz w:val="22"/>
          <w:szCs w:val="22"/>
        </w:rPr>
      </w:pPr>
      <w:r w:rsidRPr="00885C15">
        <w:rPr>
          <w:rFonts w:ascii="Calibri" w:hAnsi="Calibri" w:cs="Calibri"/>
          <w:b/>
          <w:sz w:val="22"/>
          <w:szCs w:val="22"/>
        </w:rPr>
        <w:t>A:</w:t>
      </w:r>
      <w:r w:rsidRPr="00885C15">
        <w:rPr>
          <w:rFonts w:ascii="Calibri" w:hAnsi="Calibri" w:cs="Calibri"/>
          <w:b/>
          <w:sz w:val="22"/>
          <w:szCs w:val="22"/>
        </w:rPr>
        <w:tab/>
      </w:r>
      <w:r w:rsidRPr="00885C15">
        <w:rPr>
          <w:rFonts w:ascii="Calibri" w:hAnsi="Calibri" w:cs="Calibri"/>
          <w:sz w:val="22"/>
          <w:szCs w:val="22"/>
        </w:rPr>
        <w:t xml:space="preserve">The Dora Maxwell Social Responsibility Community Service Award is given to a credit union or chapter/multiple credit union group for its </w:t>
      </w:r>
      <w:r w:rsidRPr="00885C15">
        <w:rPr>
          <w:rFonts w:ascii="Calibri" w:hAnsi="Calibri" w:cs="Calibri"/>
          <w:b/>
          <w:bCs/>
          <w:sz w:val="22"/>
          <w:szCs w:val="22"/>
        </w:rPr>
        <w:t>social responsibility</w:t>
      </w:r>
      <w:r w:rsidRPr="00885C15">
        <w:rPr>
          <w:rFonts w:ascii="Calibri" w:hAnsi="Calibri" w:cs="Calibri"/>
          <w:sz w:val="22"/>
          <w:szCs w:val="22"/>
        </w:rPr>
        <w:t xml:space="preserve"> </w:t>
      </w:r>
      <w:r w:rsidRPr="00885C15">
        <w:rPr>
          <w:rFonts w:ascii="Calibri" w:hAnsi="Calibri" w:cs="Calibri"/>
          <w:b/>
          <w:bCs/>
          <w:sz w:val="22"/>
          <w:szCs w:val="22"/>
        </w:rPr>
        <w:t>projects within the community</w:t>
      </w:r>
      <w:r w:rsidRPr="00885C15">
        <w:rPr>
          <w:rFonts w:ascii="Calibri" w:hAnsi="Calibri" w:cs="Calibri"/>
          <w:sz w:val="22"/>
          <w:szCs w:val="22"/>
        </w:rPr>
        <w:t xml:space="preserve">.  The </w:t>
      </w:r>
      <w:r w:rsidRPr="00885C15">
        <w:rPr>
          <w:rFonts w:ascii="Calibri" w:hAnsi="Calibri" w:cs="Calibri"/>
          <w:b/>
          <w:bCs/>
          <w:sz w:val="22"/>
          <w:szCs w:val="22"/>
        </w:rPr>
        <w:t>award is given for external activities</w:t>
      </w:r>
      <w:r w:rsidRPr="00885C15">
        <w:rPr>
          <w:rFonts w:ascii="Calibri" w:hAnsi="Calibri" w:cs="Calibri"/>
          <w:sz w:val="22"/>
          <w:szCs w:val="22"/>
        </w:rPr>
        <w:t xml:space="preserve">.  The Louise Herring Philosophy-in-Action Member Service Award is given to a credit union for its practical application of credit union philosophy </w:t>
      </w:r>
      <w:r w:rsidRPr="00885C15">
        <w:rPr>
          <w:rFonts w:ascii="Calibri" w:hAnsi="Calibri" w:cs="Calibri"/>
          <w:b/>
          <w:sz w:val="22"/>
          <w:szCs w:val="22"/>
        </w:rPr>
        <w:t xml:space="preserve">within the actual operation of the credit union.  </w:t>
      </w:r>
      <w:r w:rsidRPr="00885C15">
        <w:rPr>
          <w:rFonts w:ascii="Calibri" w:hAnsi="Calibri" w:cs="Calibri"/>
          <w:sz w:val="22"/>
          <w:szCs w:val="22"/>
        </w:rPr>
        <w:t xml:space="preserve">It is </w:t>
      </w:r>
      <w:r w:rsidRPr="00885C15">
        <w:rPr>
          <w:rFonts w:ascii="Calibri" w:hAnsi="Calibri" w:cs="Calibri"/>
          <w:b/>
          <w:bCs/>
          <w:sz w:val="22"/>
          <w:szCs w:val="22"/>
        </w:rPr>
        <w:t>awarded for internal programs and services that benefit membership</w:t>
      </w:r>
      <w:r w:rsidRPr="00885C15">
        <w:rPr>
          <w:rFonts w:ascii="Calibri" w:hAnsi="Calibri" w:cs="Calibri"/>
          <w:sz w:val="22"/>
          <w:szCs w:val="22"/>
        </w:rPr>
        <w:t>.</w:t>
      </w:r>
    </w:p>
    <w:p w:rsidR="00553168" w:rsidRPr="00885C15" w:rsidRDefault="00553168" w:rsidP="00553168">
      <w:pPr>
        <w:widowControl/>
        <w:tabs>
          <w:tab w:val="left" w:pos="0"/>
        </w:tabs>
        <w:spacing w:line="227" w:lineRule="auto"/>
        <w:ind w:right="720"/>
        <w:rPr>
          <w:rFonts w:ascii="Calibri" w:hAnsi="Calibri" w:cs="Calibri"/>
          <w:sz w:val="22"/>
          <w:szCs w:val="22"/>
        </w:rPr>
      </w:pPr>
    </w:p>
    <w:p w:rsidR="00553168" w:rsidRPr="00885C15" w:rsidRDefault="00553168" w:rsidP="00553168">
      <w:pPr>
        <w:widowControl/>
        <w:tabs>
          <w:tab w:val="left" w:pos="0"/>
        </w:tabs>
        <w:spacing w:line="227" w:lineRule="auto"/>
        <w:ind w:left="720" w:right="720" w:hanging="720"/>
        <w:rPr>
          <w:rFonts w:ascii="Calibri" w:hAnsi="Calibri" w:cs="Calibri"/>
          <w:sz w:val="22"/>
          <w:szCs w:val="22"/>
        </w:rPr>
      </w:pPr>
      <w:r w:rsidRPr="00885C15">
        <w:rPr>
          <w:rFonts w:ascii="Calibri" w:hAnsi="Calibri" w:cs="Calibri"/>
          <w:b/>
          <w:sz w:val="22"/>
          <w:szCs w:val="22"/>
        </w:rPr>
        <w:t>Q:</w:t>
      </w:r>
      <w:r w:rsidRPr="00885C15">
        <w:rPr>
          <w:rFonts w:ascii="Calibri" w:hAnsi="Calibri" w:cs="Calibri"/>
          <w:sz w:val="22"/>
          <w:szCs w:val="22"/>
        </w:rPr>
        <w:tab/>
        <w:t>Can a credit union enter both competitions?</w:t>
      </w:r>
    </w:p>
    <w:p w:rsidR="00553168" w:rsidRPr="00885C15" w:rsidRDefault="00553168" w:rsidP="00553168">
      <w:pPr>
        <w:widowControl/>
        <w:tabs>
          <w:tab w:val="left" w:pos="0"/>
        </w:tabs>
        <w:spacing w:line="227" w:lineRule="auto"/>
        <w:ind w:right="720"/>
        <w:rPr>
          <w:rFonts w:ascii="Calibri" w:hAnsi="Calibri" w:cs="Calibri"/>
          <w:sz w:val="22"/>
          <w:szCs w:val="22"/>
        </w:rPr>
      </w:pPr>
    </w:p>
    <w:p w:rsidR="00553168" w:rsidRPr="00885C15" w:rsidRDefault="00553168" w:rsidP="00553168">
      <w:pPr>
        <w:widowControl/>
        <w:tabs>
          <w:tab w:val="left" w:pos="0"/>
        </w:tabs>
        <w:spacing w:line="227" w:lineRule="auto"/>
        <w:ind w:left="720" w:right="720" w:hanging="720"/>
        <w:rPr>
          <w:rFonts w:ascii="Calibri" w:hAnsi="Calibri" w:cs="Calibri"/>
          <w:sz w:val="22"/>
          <w:szCs w:val="22"/>
        </w:rPr>
      </w:pPr>
      <w:r w:rsidRPr="00885C15">
        <w:rPr>
          <w:rFonts w:ascii="Calibri" w:hAnsi="Calibri" w:cs="Calibri"/>
          <w:b/>
          <w:sz w:val="22"/>
          <w:szCs w:val="22"/>
        </w:rPr>
        <w:t>A:</w:t>
      </w:r>
      <w:r w:rsidRPr="00885C15">
        <w:rPr>
          <w:rFonts w:ascii="Calibri" w:hAnsi="Calibri" w:cs="Calibri"/>
          <w:sz w:val="22"/>
          <w:szCs w:val="22"/>
        </w:rPr>
        <w:tab/>
        <w:t>Yes.  Just be sure to clearly define which program the credit union is entering and how the activities submitted meet the program guidelines.</w:t>
      </w:r>
    </w:p>
    <w:p w:rsidR="00553168" w:rsidRPr="00885C15" w:rsidRDefault="00553168" w:rsidP="00553168">
      <w:pPr>
        <w:widowControl/>
        <w:tabs>
          <w:tab w:val="left" w:pos="0"/>
        </w:tabs>
        <w:spacing w:line="227" w:lineRule="auto"/>
        <w:ind w:left="720" w:right="720" w:hanging="720"/>
        <w:rPr>
          <w:rFonts w:ascii="Calibri" w:hAnsi="Calibri" w:cs="Calibri"/>
          <w:b/>
          <w:sz w:val="22"/>
          <w:szCs w:val="22"/>
        </w:rPr>
      </w:pPr>
    </w:p>
    <w:p w:rsidR="00553168" w:rsidRPr="00885C15" w:rsidRDefault="00553168" w:rsidP="00553168">
      <w:pPr>
        <w:widowControl/>
        <w:tabs>
          <w:tab w:val="left" w:pos="0"/>
        </w:tabs>
        <w:spacing w:line="227" w:lineRule="auto"/>
        <w:ind w:left="720" w:right="720" w:hanging="720"/>
        <w:rPr>
          <w:rFonts w:ascii="Calibri" w:hAnsi="Calibri" w:cs="Calibri"/>
          <w:sz w:val="22"/>
          <w:szCs w:val="22"/>
        </w:rPr>
      </w:pPr>
      <w:r w:rsidRPr="00885C15">
        <w:rPr>
          <w:rFonts w:ascii="Calibri" w:hAnsi="Calibri" w:cs="Calibri"/>
          <w:b/>
          <w:sz w:val="22"/>
          <w:szCs w:val="22"/>
        </w:rPr>
        <w:t>Q:</w:t>
      </w:r>
      <w:r w:rsidRPr="00885C15">
        <w:rPr>
          <w:rFonts w:ascii="Calibri" w:hAnsi="Calibri" w:cs="Calibri"/>
          <w:sz w:val="22"/>
          <w:szCs w:val="22"/>
        </w:rPr>
        <w:tab/>
        <w:t xml:space="preserve">Can a credit union enter </w:t>
      </w:r>
      <w:r w:rsidRPr="00885C15">
        <w:rPr>
          <w:rFonts w:ascii="Calibri" w:hAnsi="Calibri" w:cs="Calibri"/>
          <w:sz w:val="22"/>
          <w:szCs w:val="22"/>
          <w:u w:val="single"/>
        </w:rPr>
        <w:t>the same entry</w:t>
      </w:r>
      <w:r w:rsidRPr="00885C15">
        <w:rPr>
          <w:rFonts w:ascii="Calibri" w:hAnsi="Calibri" w:cs="Calibri"/>
          <w:sz w:val="22"/>
          <w:szCs w:val="22"/>
        </w:rPr>
        <w:t xml:space="preserve"> in both competitions?</w:t>
      </w:r>
    </w:p>
    <w:p w:rsidR="00553168" w:rsidRPr="00885C15" w:rsidRDefault="00553168" w:rsidP="00553168">
      <w:pPr>
        <w:widowControl/>
        <w:tabs>
          <w:tab w:val="left" w:pos="0"/>
        </w:tabs>
        <w:spacing w:line="227" w:lineRule="auto"/>
        <w:ind w:right="720"/>
        <w:rPr>
          <w:rFonts w:ascii="Calibri" w:hAnsi="Calibri" w:cs="Calibri"/>
          <w:sz w:val="22"/>
          <w:szCs w:val="22"/>
        </w:rPr>
      </w:pPr>
    </w:p>
    <w:p w:rsidR="00553168" w:rsidRPr="00885C15" w:rsidRDefault="00553168" w:rsidP="00553168">
      <w:pPr>
        <w:widowControl/>
        <w:tabs>
          <w:tab w:val="left" w:pos="0"/>
        </w:tabs>
        <w:spacing w:line="227" w:lineRule="auto"/>
        <w:ind w:left="720" w:right="720" w:hanging="720"/>
        <w:rPr>
          <w:rFonts w:ascii="Calibri" w:hAnsi="Calibri" w:cs="Calibri"/>
          <w:sz w:val="22"/>
          <w:szCs w:val="22"/>
        </w:rPr>
      </w:pPr>
      <w:r w:rsidRPr="00885C15">
        <w:rPr>
          <w:rFonts w:ascii="Calibri" w:hAnsi="Calibri" w:cs="Calibri"/>
          <w:b/>
          <w:sz w:val="22"/>
          <w:szCs w:val="22"/>
        </w:rPr>
        <w:t>A:</w:t>
      </w:r>
      <w:r w:rsidRPr="00885C15">
        <w:rPr>
          <w:rFonts w:ascii="Calibri" w:hAnsi="Calibri" w:cs="Calibri"/>
          <w:sz w:val="22"/>
          <w:szCs w:val="22"/>
        </w:rPr>
        <w:tab/>
        <w:t>No.  Because each program has different objectives and requirements, entries should be tailored to match the defined goals of the particular competition.</w:t>
      </w:r>
    </w:p>
    <w:p w:rsidR="00553168" w:rsidRPr="00885C15" w:rsidRDefault="00553168" w:rsidP="00553168">
      <w:pPr>
        <w:widowControl/>
        <w:tabs>
          <w:tab w:val="left" w:pos="0"/>
        </w:tabs>
        <w:spacing w:line="227" w:lineRule="auto"/>
        <w:ind w:left="720" w:right="720" w:hanging="720"/>
        <w:rPr>
          <w:rFonts w:ascii="Calibri" w:hAnsi="Calibri" w:cs="Calibri"/>
          <w:sz w:val="22"/>
          <w:szCs w:val="22"/>
        </w:rPr>
      </w:pPr>
    </w:p>
    <w:p w:rsidR="00553168" w:rsidRPr="00885C15" w:rsidRDefault="00553168" w:rsidP="00553168">
      <w:pPr>
        <w:widowControl/>
        <w:tabs>
          <w:tab w:val="left" w:pos="0"/>
        </w:tabs>
        <w:spacing w:line="227" w:lineRule="auto"/>
        <w:ind w:left="720" w:right="720" w:hanging="720"/>
        <w:rPr>
          <w:rFonts w:ascii="Calibri" w:hAnsi="Calibri" w:cs="Calibri"/>
          <w:bCs/>
          <w:sz w:val="22"/>
          <w:szCs w:val="22"/>
        </w:rPr>
      </w:pPr>
      <w:r w:rsidRPr="00885C15">
        <w:rPr>
          <w:rFonts w:ascii="Calibri" w:hAnsi="Calibri" w:cs="Calibri"/>
          <w:b/>
          <w:bCs/>
          <w:sz w:val="22"/>
          <w:szCs w:val="22"/>
        </w:rPr>
        <w:t>Q:</w:t>
      </w:r>
      <w:r w:rsidRPr="00885C15">
        <w:rPr>
          <w:rFonts w:ascii="Calibri" w:hAnsi="Calibri" w:cs="Calibri"/>
          <w:b/>
          <w:bCs/>
          <w:sz w:val="22"/>
          <w:szCs w:val="22"/>
        </w:rPr>
        <w:tab/>
      </w:r>
      <w:r w:rsidRPr="00885C15">
        <w:rPr>
          <w:rFonts w:ascii="Calibri" w:hAnsi="Calibri" w:cs="Calibri"/>
          <w:bCs/>
          <w:sz w:val="22"/>
          <w:szCs w:val="22"/>
        </w:rPr>
        <w:t>How do the Dora and Louise programs differ from the Desjardins program?</w:t>
      </w:r>
    </w:p>
    <w:p w:rsidR="00553168" w:rsidRPr="00885C15" w:rsidRDefault="00553168" w:rsidP="00553168">
      <w:pPr>
        <w:widowControl/>
        <w:tabs>
          <w:tab w:val="left" w:pos="0"/>
        </w:tabs>
        <w:spacing w:line="227" w:lineRule="auto"/>
        <w:ind w:left="720" w:right="720" w:hanging="720"/>
        <w:rPr>
          <w:rFonts w:ascii="Calibri" w:hAnsi="Calibri" w:cs="Calibri"/>
          <w:b/>
          <w:bCs/>
          <w:sz w:val="22"/>
          <w:szCs w:val="22"/>
        </w:rPr>
      </w:pPr>
    </w:p>
    <w:p w:rsidR="00553168" w:rsidRPr="00885C15" w:rsidRDefault="00553168" w:rsidP="00553168">
      <w:pPr>
        <w:widowControl/>
        <w:tabs>
          <w:tab w:val="left" w:pos="0"/>
        </w:tabs>
        <w:spacing w:line="227" w:lineRule="auto"/>
        <w:ind w:left="720" w:right="720" w:hanging="720"/>
        <w:rPr>
          <w:rFonts w:ascii="Calibri" w:hAnsi="Calibri" w:cs="Calibri"/>
          <w:sz w:val="22"/>
          <w:szCs w:val="22"/>
        </w:rPr>
      </w:pPr>
      <w:r w:rsidRPr="00885C15">
        <w:rPr>
          <w:rFonts w:ascii="Calibri" w:hAnsi="Calibri" w:cs="Calibri"/>
          <w:b/>
          <w:bCs/>
          <w:sz w:val="22"/>
          <w:szCs w:val="22"/>
        </w:rPr>
        <w:t>A:</w:t>
      </w:r>
      <w:r w:rsidRPr="00885C15">
        <w:rPr>
          <w:rFonts w:ascii="Calibri" w:hAnsi="Calibri" w:cs="Calibri"/>
          <w:sz w:val="22"/>
          <w:szCs w:val="22"/>
        </w:rPr>
        <w:tab/>
        <w:t xml:space="preserve">Training teachers or lobbying on behalf of state personal finance curriculum requirements are considered community service activities and would be eligible for the Dora Maxwell award. Operating an in-school branch is considered a member service activity and would be eligible for the Louise Herring award. All activities to teach personal finance to people of any age are consider financial education and would be eligible for the Desjardins award. </w:t>
      </w:r>
    </w:p>
    <w:p w:rsidR="00553168" w:rsidRPr="00885C15" w:rsidRDefault="00553168" w:rsidP="00553168">
      <w:pPr>
        <w:widowControl/>
        <w:tabs>
          <w:tab w:val="left" w:pos="0"/>
        </w:tabs>
        <w:spacing w:line="227" w:lineRule="auto"/>
        <w:ind w:left="720" w:right="720" w:hanging="720"/>
        <w:rPr>
          <w:rFonts w:ascii="Calibri" w:hAnsi="Calibri" w:cs="Calibri"/>
          <w:b/>
          <w:bCs/>
          <w:sz w:val="22"/>
          <w:szCs w:val="22"/>
        </w:rPr>
      </w:pPr>
    </w:p>
    <w:p w:rsidR="00553168" w:rsidRPr="00885C15" w:rsidRDefault="00553168" w:rsidP="00553168">
      <w:pPr>
        <w:widowControl/>
        <w:tabs>
          <w:tab w:val="left" w:pos="0"/>
        </w:tabs>
        <w:spacing w:line="227" w:lineRule="auto"/>
        <w:ind w:left="720" w:right="720" w:hanging="720"/>
        <w:rPr>
          <w:rFonts w:ascii="Calibri" w:hAnsi="Calibri" w:cs="Calibri"/>
          <w:sz w:val="22"/>
          <w:szCs w:val="22"/>
        </w:rPr>
      </w:pPr>
      <w:r w:rsidRPr="00885C15">
        <w:rPr>
          <w:rFonts w:ascii="Calibri" w:hAnsi="Calibri" w:cs="Calibri"/>
          <w:b/>
          <w:bCs/>
          <w:sz w:val="22"/>
          <w:szCs w:val="22"/>
        </w:rPr>
        <w:t>Q:</w:t>
      </w:r>
      <w:r w:rsidRPr="00885C15">
        <w:rPr>
          <w:rFonts w:ascii="Calibri" w:hAnsi="Calibri" w:cs="Calibri"/>
          <w:b/>
          <w:bCs/>
          <w:sz w:val="22"/>
          <w:szCs w:val="22"/>
        </w:rPr>
        <w:tab/>
      </w:r>
      <w:r w:rsidRPr="00885C15">
        <w:rPr>
          <w:rFonts w:ascii="Calibri" w:hAnsi="Calibri" w:cs="Calibri"/>
          <w:sz w:val="22"/>
          <w:szCs w:val="22"/>
        </w:rPr>
        <w:t>Can a credit union submit the same entry to more than one league for state-level judging?</w:t>
      </w:r>
    </w:p>
    <w:p w:rsidR="00553168" w:rsidRPr="00885C15" w:rsidRDefault="00553168" w:rsidP="00553168">
      <w:pPr>
        <w:widowControl/>
        <w:tabs>
          <w:tab w:val="left" w:pos="0"/>
        </w:tabs>
        <w:spacing w:line="227" w:lineRule="auto"/>
        <w:ind w:left="720" w:right="720" w:hanging="720"/>
        <w:rPr>
          <w:rFonts w:ascii="Calibri" w:hAnsi="Calibri" w:cs="Calibri"/>
          <w:sz w:val="22"/>
          <w:szCs w:val="22"/>
        </w:rPr>
      </w:pPr>
    </w:p>
    <w:p w:rsidR="00553168" w:rsidRPr="00885C15" w:rsidRDefault="00553168" w:rsidP="00553168">
      <w:pPr>
        <w:widowControl/>
        <w:tabs>
          <w:tab w:val="left" w:pos="0"/>
        </w:tabs>
        <w:spacing w:line="227" w:lineRule="auto"/>
        <w:ind w:left="720" w:right="720" w:hanging="720"/>
        <w:rPr>
          <w:rFonts w:ascii="Calibri" w:hAnsi="Calibri" w:cs="Calibri"/>
          <w:sz w:val="22"/>
          <w:szCs w:val="22"/>
        </w:rPr>
      </w:pPr>
      <w:r w:rsidRPr="00885C15">
        <w:rPr>
          <w:rFonts w:ascii="Calibri" w:hAnsi="Calibri" w:cs="Calibri"/>
          <w:b/>
          <w:bCs/>
          <w:sz w:val="22"/>
          <w:szCs w:val="22"/>
        </w:rPr>
        <w:lastRenderedPageBreak/>
        <w:t>A:</w:t>
      </w:r>
      <w:r w:rsidRPr="00885C15">
        <w:rPr>
          <w:rFonts w:ascii="Calibri" w:hAnsi="Calibri" w:cs="Calibri"/>
          <w:sz w:val="22"/>
          <w:szCs w:val="22"/>
        </w:rPr>
        <w:tab/>
        <w:t>No.  A credit union’s entry may only be submitted to one league, even if the credit union pays dues in more than one state.</w:t>
      </w:r>
    </w:p>
    <w:p w:rsidR="00553168" w:rsidRPr="00885C15" w:rsidRDefault="00553168" w:rsidP="00553168">
      <w:pPr>
        <w:widowControl/>
        <w:tabs>
          <w:tab w:val="left" w:pos="0"/>
        </w:tabs>
        <w:spacing w:line="227" w:lineRule="auto"/>
        <w:ind w:left="720" w:right="720" w:hanging="720"/>
        <w:rPr>
          <w:rFonts w:ascii="Calibri" w:hAnsi="Calibri" w:cs="Calibri"/>
          <w:sz w:val="22"/>
          <w:szCs w:val="22"/>
        </w:rPr>
      </w:pPr>
    </w:p>
    <w:p w:rsidR="00553168" w:rsidRPr="00885C15" w:rsidRDefault="00553168" w:rsidP="00553168">
      <w:pPr>
        <w:widowControl/>
        <w:tabs>
          <w:tab w:val="left" w:pos="0"/>
        </w:tabs>
        <w:spacing w:line="227" w:lineRule="auto"/>
        <w:ind w:left="720" w:right="720" w:hanging="720"/>
        <w:rPr>
          <w:rFonts w:ascii="Calibri" w:hAnsi="Calibri" w:cs="Calibri"/>
          <w:sz w:val="22"/>
          <w:szCs w:val="22"/>
        </w:rPr>
      </w:pPr>
      <w:r w:rsidRPr="00885C15">
        <w:rPr>
          <w:rFonts w:ascii="Calibri" w:hAnsi="Calibri" w:cs="Calibri"/>
          <w:b/>
          <w:bCs/>
          <w:sz w:val="22"/>
          <w:szCs w:val="22"/>
        </w:rPr>
        <w:t>Q:</w:t>
      </w:r>
      <w:r w:rsidRPr="00885C15">
        <w:rPr>
          <w:rFonts w:ascii="Calibri" w:hAnsi="Calibri" w:cs="Calibri"/>
          <w:b/>
          <w:bCs/>
          <w:sz w:val="22"/>
          <w:szCs w:val="22"/>
        </w:rPr>
        <w:tab/>
      </w:r>
      <w:r w:rsidRPr="00885C15">
        <w:rPr>
          <w:rFonts w:ascii="Calibri" w:hAnsi="Calibri" w:cs="Calibri"/>
          <w:sz w:val="22"/>
          <w:szCs w:val="22"/>
        </w:rPr>
        <w:t>Can a credit union submit more than one entry in either competition?</w:t>
      </w:r>
    </w:p>
    <w:p w:rsidR="00553168" w:rsidRPr="00885C15" w:rsidRDefault="00553168" w:rsidP="00553168">
      <w:pPr>
        <w:widowControl/>
        <w:tabs>
          <w:tab w:val="left" w:pos="0"/>
        </w:tabs>
        <w:spacing w:line="227" w:lineRule="auto"/>
        <w:ind w:right="720"/>
        <w:rPr>
          <w:rFonts w:ascii="Calibri" w:hAnsi="Calibri" w:cs="Calibri"/>
          <w:sz w:val="22"/>
          <w:szCs w:val="22"/>
        </w:rPr>
      </w:pPr>
    </w:p>
    <w:p w:rsidR="00553168" w:rsidRPr="00885C15" w:rsidRDefault="00553168" w:rsidP="00553168">
      <w:pPr>
        <w:widowControl/>
        <w:numPr>
          <w:ilvl w:val="0"/>
          <w:numId w:val="1"/>
        </w:numPr>
        <w:tabs>
          <w:tab w:val="clear" w:pos="1080"/>
          <w:tab w:val="left" w:pos="0"/>
          <w:tab w:val="num" w:pos="720"/>
        </w:tabs>
        <w:spacing w:line="227" w:lineRule="auto"/>
        <w:ind w:left="720" w:right="720"/>
        <w:rPr>
          <w:rFonts w:ascii="Calibri" w:hAnsi="Calibri" w:cs="Calibri"/>
          <w:sz w:val="22"/>
          <w:szCs w:val="22"/>
        </w:rPr>
      </w:pPr>
      <w:r w:rsidRPr="00885C15">
        <w:rPr>
          <w:rFonts w:ascii="Calibri" w:hAnsi="Calibri" w:cs="Calibri"/>
          <w:sz w:val="22"/>
          <w:szCs w:val="22"/>
        </w:rPr>
        <w:t xml:space="preserve">A credit union should submit only one entry per competition.  Each entry can list the number of projects conducted in the timeframe established by the league, but the credit union </w:t>
      </w:r>
      <w:r w:rsidRPr="00885C15">
        <w:rPr>
          <w:rFonts w:ascii="Calibri" w:hAnsi="Calibri" w:cs="Calibri"/>
          <w:b/>
          <w:bCs/>
          <w:sz w:val="22"/>
          <w:szCs w:val="22"/>
        </w:rPr>
        <w:t>must select one</w:t>
      </w:r>
      <w:r w:rsidRPr="00885C15">
        <w:rPr>
          <w:rFonts w:ascii="Calibri" w:hAnsi="Calibri" w:cs="Calibri"/>
          <w:sz w:val="22"/>
          <w:szCs w:val="22"/>
        </w:rPr>
        <w:t xml:space="preserve"> project that best exemplifies the criteria for each award.  The questions on the entry form must be completed detailing the one project that was selected. </w:t>
      </w:r>
    </w:p>
    <w:p w:rsidR="00553168" w:rsidRPr="00885C15" w:rsidRDefault="00553168" w:rsidP="00553168">
      <w:pPr>
        <w:widowControl/>
        <w:tabs>
          <w:tab w:val="left" w:pos="0"/>
        </w:tabs>
        <w:spacing w:line="227" w:lineRule="auto"/>
        <w:ind w:right="720"/>
        <w:rPr>
          <w:rFonts w:ascii="Calibri" w:hAnsi="Calibri" w:cs="Calibri"/>
          <w:sz w:val="22"/>
          <w:szCs w:val="22"/>
        </w:rPr>
      </w:pPr>
    </w:p>
    <w:p w:rsidR="00553168" w:rsidRPr="00885C15" w:rsidRDefault="00553168" w:rsidP="00553168">
      <w:pPr>
        <w:widowControl/>
        <w:tabs>
          <w:tab w:val="left" w:pos="0"/>
        </w:tabs>
        <w:spacing w:line="227" w:lineRule="auto"/>
        <w:ind w:left="720" w:hanging="720"/>
        <w:rPr>
          <w:rFonts w:ascii="Calibri" w:hAnsi="Calibri" w:cs="Calibri"/>
          <w:sz w:val="22"/>
          <w:szCs w:val="22"/>
        </w:rPr>
      </w:pPr>
      <w:r w:rsidRPr="00885C15">
        <w:rPr>
          <w:rFonts w:ascii="Calibri" w:hAnsi="Calibri" w:cs="Calibri"/>
          <w:b/>
          <w:sz w:val="22"/>
          <w:szCs w:val="22"/>
        </w:rPr>
        <w:t>Q:</w:t>
      </w:r>
      <w:r w:rsidRPr="00885C15">
        <w:rPr>
          <w:rFonts w:ascii="Calibri" w:hAnsi="Calibri" w:cs="Calibri"/>
          <w:sz w:val="22"/>
          <w:szCs w:val="22"/>
        </w:rPr>
        <w:tab/>
        <w:t>Why must a credit union supply financial information with its entry in the Louise Herring Philosophy-in-Action Member Service Award?</w:t>
      </w:r>
    </w:p>
    <w:p w:rsidR="00553168" w:rsidRPr="00885C15" w:rsidRDefault="00553168" w:rsidP="00553168">
      <w:pPr>
        <w:widowControl/>
        <w:tabs>
          <w:tab w:val="left" w:pos="0"/>
        </w:tabs>
        <w:spacing w:line="227" w:lineRule="auto"/>
        <w:rPr>
          <w:rFonts w:ascii="Calibri" w:hAnsi="Calibri" w:cs="Calibri"/>
          <w:sz w:val="22"/>
          <w:szCs w:val="22"/>
        </w:rPr>
      </w:pPr>
    </w:p>
    <w:p w:rsidR="00553168" w:rsidRPr="00885C15" w:rsidRDefault="00553168" w:rsidP="00553168">
      <w:pPr>
        <w:widowControl/>
        <w:tabs>
          <w:tab w:val="left" w:pos="0"/>
        </w:tabs>
        <w:spacing w:line="227" w:lineRule="auto"/>
        <w:ind w:left="720" w:hanging="720"/>
        <w:rPr>
          <w:rFonts w:ascii="Calibri" w:hAnsi="Calibri" w:cs="Calibri"/>
          <w:sz w:val="22"/>
          <w:szCs w:val="22"/>
        </w:rPr>
      </w:pPr>
      <w:r w:rsidRPr="00885C15">
        <w:rPr>
          <w:rFonts w:ascii="Calibri" w:hAnsi="Calibri" w:cs="Calibri"/>
          <w:b/>
          <w:sz w:val="22"/>
          <w:szCs w:val="22"/>
        </w:rPr>
        <w:t>A:</w:t>
      </w:r>
      <w:r w:rsidRPr="00885C15">
        <w:rPr>
          <w:rFonts w:ascii="Calibri" w:hAnsi="Calibri" w:cs="Calibri"/>
          <w:sz w:val="22"/>
          <w:szCs w:val="22"/>
        </w:rPr>
        <w:tab/>
        <w:t xml:space="preserve">A credit union must be in solid financial condition in order to provide the highest level of service to its members.  Sound financial management ensures a credit union's ability to continue to provide that service, as well.  Therefore, the entry </w:t>
      </w:r>
      <w:r w:rsidRPr="00885C15">
        <w:rPr>
          <w:rFonts w:ascii="Calibri" w:hAnsi="Calibri" w:cs="Calibri"/>
          <w:b/>
          <w:sz w:val="22"/>
          <w:szCs w:val="22"/>
          <w:u w:val="single"/>
        </w:rPr>
        <w:t xml:space="preserve">must </w:t>
      </w:r>
      <w:r w:rsidRPr="00885C15">
        <w:rPr>
          <w:rFonts w:ascii="Calibri" w:hAnsi="Calibri" w:cs="Calibri"/>
          <w:sz w:val="22"/>
          <w:szCs w:val="22"/>
        </w:rPr>
        <w:t>include current and previous year’s (2 years total) balance sheets and income statements and/or NCUA’s Financial Performance Report (FPR).  Entries received without the financial information will be disqualified.</w:t>
      </w:r>
    </w:p>
    <w:p w:rsidR="00D350D4" w:rsidRDefault="00D350D4">
      <w:bookmarkStart w:id="13" w:name="_GoBack"/>
      <w:bookmarkEnd w:id="13"/>
    </w:p>
    <w:sectPr w:rsidR="00D350D4" w:rsidSect="00553168">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02B6F"/>
    <w:multiLevelType w:val="hybridMultilevel"/>
    <w:tmpl w:val="151AEB4E"/>
    <w:lvl w:ilvl="0" w:tplc="F44494EE">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168"/>
    <w:rsid w:val="00553168"/>
    <w:rsid w:val="00D3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1931DDDC-FCC1-4BF8-80F3-F3AF097F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168"/>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553168"/>
    <w:pPr>
      <w:keepNext/>
      <w:widowControl/>
      <w:tabs>
        <w:tab w:val="center" w:pos="4680"/>
        <w:tab w:val="left" w:pos="5040"/>
        <w:tab w:val="left" w:pos="5760"/>
        <w:tab w:val="left" w:pos="6480"/>
        <w:tab w:val="left" w:pos="7200"/>
        <w:tab w:val="left" w:pos="7920"/>
        <w:tab w:val="left" w:pos="8640"/>
        <w:tab w:val="left" w:pos="9360"/>
      </w:tabs>
      <w:jc w:val="cente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168"/>
    <w:rPr>
      <w:rFonts w:ascii="Arial" w:eastAsia="Times New Roman" w:hAnsi="Arial" w:cs="Times New Roman"/>
      <w:b/>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 Hall</dc:creator>
  <cp:keywords/>
  <dc:description/>
  <cp:lastModifiedBy>Kathryn L. Hall</cp:lastModifiedBy>
  <cp:revision>1</cp:revision>
  <dcterms:created xsi:type="dcterms:W3CDTF">2014-06-25T20:03:00Z</dcterms:created>
  <dcterms:modified xsi:type="dcterms:W3CDTF">2014-06-25T20:06:00Z</dcterms:modified>
</cp:coreProperties>
</file>