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BDB" w:rsidRPr="00C628F5" w:rsidRDefault="003D2BDB" w:rsidP="00C628F5">
      <w:pPr>
        <w:rPr>
          <w:rFonts w:ascii="Arial" w:hAnsi="Arial" w:cs="Arial"/>
        </w:rPr>
      </w:pPr>
      <w:r w:rsidRPr="00C628F5">
        <w:rPr>
          <w:rFonts w:ascii="Arial" w:hAnsi="Arial" w:cs="Arial"/>
        </w:rPr>
        <w:t>TO:</w:t>
      </w:r>
      <w:r w:rsidRPr="00C628F5">
        <w:rPr>
          <w:rFonts w:ascii="Arial" w:hAnsi="Arial" w:cs="Arial"/>
        </w:rPr>
        <w:tab/>
      </w:r>
      <w:r w:rsidR="00D6276C" w:rsidRPr="00C628F5">
        <w:rPr>
          <w:rFonts w:ascii="Arial" w:hAnsi="Arial" w:cs="Arial"/>
        </w:rPr>
        <w:t>Bill Cheney</w:t>
      </w:r>
      <w:r w:rsidRPr="00C628F5">
        <w:rPr>
          <w:rFonts w:ascii="Arial" w:hAnsi="Arial" w:cs="Arial"/>
        </w:rPr>
        <w:t>, CUNA President and CEO</w:t>
      </w:r>
    </w:p>
    <w:p w:rsidR="003D2BDB" w:rsidRPr="00C628F5" w:rsidRDefault="003D2BDB" w:rsidP="00C628F5">
      <w:pPr>
        <w:rPr>
          <w:rFonts w:ascii="Arial" w:hAnsi="Arial" w:cs="Arial"/>
        </w:rPr>
      </w:pPr>
    </w:p>
    <w:p w:rsidR="003D2BDB" w:rsidRDefault="003D2BDB" w:rsidP="00C628F5">
      <w:pPr>
        <w:rPr>
          <w:rFonts w:ascii="Arial" w:hAnsi="Arial" w:cs="Arial"/>
        </w:rPr>
      </w:pPr>
      <w:r w:rsidRPr="00C628F5">
        <w:rPr>
          <w:rFonts w:ascii="Arial" w:hAnsi="Arial" w:cs="Arial"/>
        </w:rPr>
        <w:t>FM:</w:t>
      </w:r>
      <w:r w:rsidRPr="00C628F5">
        <w:rPr>
          <w:rFonts w:ascii="Arial" w:hAnsi="Arial" w:cs="Arial"/>
        </w:rPr>
        <w:tab/>
        <w:t>Mary Dunn, CUNA SVP and Deputy General Counsel</w:t>
      </w:r>
    </w:p>
    <w:p w:rsidR="0025712D" w:rsidRPr="00C628F5" w:rsidRDefault="0025712D" w:rsidP="00C628F5">
      <w:pPr>
        <w:rPr>
          <w:rFonts w:ascii="Arial" w:hAnsi="Arial" w:cs="Arial"/>
        </w:rPr>
      </w:pPr>
      <w:r>
        <w:rPr>
          <w:rFonts w:ascii="Arial" w:hAnsi="Arial" w:cs="Arial"/>
        </w:rPr>
        <w:tab/>
        <w:t>Bill Hampel, CUNA Chief Economist</w:t>
      </w:r>
    </w:p>
    <w:p w:rsidR="003D2BDB" w:rsidRPr="00C628F5" w:rsidRDefault="003D2BDB" w:rsidP="00C628F5">
      <w:pPr>
        <w:rPr>
          <w:rFonts w:ascii="Arial" w:hAnsi="Arial" w:cs="Arial"/>
        </w:rPr>
      </w:pPr>
    </w:p>
    <w:p w:rsidR="003D2BDB" w:rsidRPr="00C628F5" w:rsidRDefault="003D2BDB" w:rsidP="00C628F5">
      <w:pPr>
        <w:rPr>
          <w:rFonts w:ascii="Arial" w:hAnsi="Arial" w:cs="Arial"/>
        </w:rPr>
      </w:pPr>
      <w:r w:rsidRPr="00C628F5">
        <w:rPr>
          <w:rFonts w:ascii="Arial" w:hAnsi="Arial" w:cs="Arial"/>
        </w:rPr>
        <w:t>RE:</w:t>
      </w:r>
      <w:r w:rsidRPr="00C628F5">
        <w:rPr>
          <w:rFonts w:ascii="Arial" w:hAnsi="Arial" w:cs="Arial"/>
        </w:rPr>
        <w:tab/>
        <w:t>NCUA Board Meeting Today</w:t>
      </w:r>
      <w:r w:rsidR="00BA3409">
        <w:rPr>
          <w:rFonts w:ascii="Arial" w:hAnsi="Arial" w:cs="Arial"/>
        </w:rPr>
        <w:t xml:space="preserve"> on TCCUSF Prepayment Program</w:t>
      </w:r>
    </w:p>
    <w:p w:rsidR="003D2BDB" w:rsidRPr="00C628F5" w:rsidRDefault="003D2BDB" w:rsidP="00C628F5">
      <w:pPr>
        <w:rPr>
          <w:rFonts w:ascii="Arial" w:hAnsi="Arial" w:cs="Arial"/>
        </w:rPr>
      </w:pPr>
    </w:p>
    <w:p w:rsidR="003D2BDB" w:rsidRPr="00C628F5" w:rsidRDefault="003D2BDB" w:rsidP="00C628F5">
      <w:pPr>
        <w:rPr>
          <w:rFonts w:ascii="Arial" w:hAnsi="Arial" w:cs="Arial"/>
        </w:rPr>
      </w:pPr>
      <w:r w:rsidRPr="00C628F5">
        <w:rPr>
          <w:rFonts w:ascii="Arial" w:hAnsi="Arial" w:cs="Arial"/>
        </w:rPr>
        <w:t>DT:</w:t>
      </w:r>
      <w:r w:rsidRPr="00C628F5">
        <w:rPr>
          <w:rFonts w:ascii="Arial" w:hAnsi="Arial" w:cs="Arial"/>
        </w:rPr>
        <w:tab/>
      </w:r>
      <w:r w:rsidR="00A1718B" w:rsidRPr="00C628F5">
        <w:rPr>
          <w:rFonts w:ascii="Arial" w:hAnsi="Arial" w:cs="Arial"/>
        </w:rPr>
        <w:t xml:space="preserve">June </w:t>
      </w:r>
      <w:r w:rsidR="007B7D0C">
        <w:rPr>
          <w:rFonts w:ascii="Arial" w:hAnsi="Arial" w:cs="Arial"/>
        </w:rPr>
        <w:t>29</w:t>
      </w:r>
      <w:r w:rsidR="00B16E8D" w:rsidRPr="00C628F5">
        <w:rPr>
          <w:rFonts w:ascii="Arial" w:hAnsi="Arial" w:cs="Arial"/>
        </w:rPr>
        <w:t>,</w:t>
      </w:r>
      <w:r w:rsidR="002C2052" w:rsidRPr="00C628F5">
        <w:rPr>
          <w:rFonts w:ascii="Arial" w:hAnsi="Arial" w:cs="Arial"/>
        </w:rPr>
        <w:t xml:space="preserve"> 201</w:t>
      </w:r>
      <w:r w:rsidR="00B16E8D" w:rsidRPr="00C628F5">
        <w:rPr>
          <w:rFonts w:ascii="Arial" w:hAnsi="Arial" w:cs="Arial"/>
        </w:rPr>
        <w:t>1</w:t>
      </w:r>
    </w:p>
    <w:p w:rsidR="003D2BDB" w:rsidRPr="00C628F5" w:rsidRDefault="003D2BDB" w:rsidP="00C628F5">
      <w:pPr>
        <w:pStyle w:val="Heading4"/>
        <w:spacing w:before="0" w:beforeAutospacing="0" w:after="0" w:afterAutospacing="0"/>
        <w:rPr>
          <w:rFonts w:ascii="Arial" w:hAnsi="Arial" w:cs="Arial"/>
          <w:b w:val="0"/>
          <w:bCs w:val="0"/>
          <w:u w:val="single"/>
        </w:rPr>
      </w:pPr>
      <w:r w:rsidRPr="00C628F5">
        <w:rPr>
          <w:rFonts w:ascii="Arial" w:hAnsi="Arial" w:cs="Arial"/>
          <w:b w:val="0"/>
          <w:bCs w:val="0"/>
          <w:u w:val="single"/>
        </w:rPr>
        <w:tab/>
      </w:r>
      <w:r w:rsidRPr="00C628F5">
        <w:rPr>
          <w:rFonts w:ascii="Arial" w:hAnsi="Arial" w:cs="Arial"/>
          <w:b w:val="0"/>
          <w:bCs w:val="0"/>
          <w:u w:val="single"/>
        </w:rPr>
        <w:tab/>
      </w:r>
      <w:r w:rsidRPr="00C628F5">
        <w:rPr>
          <w:rFonts w:ascii="Arial" w:hAnsi="Arial" w:cs="Arial"/>
          <w:b w:val="0"/>
          <w:bCs w:val="0"/>
          <w:u w:val="single"/>
        </w:rPr>
        <w:tab/>
      </w:r>
      <w:r w:rsidRPr="00C628F5">
        <w:rPr>
          <w:rFonts w:ascii="Arial" w:hAnsi="Arial" w:cs="Arial"/>
          <w:b w:val="0"/>
          <w:bCs w:val="0"/>
          <w:u w:val="single"/>
        </w:rPr>
        <w:tab/>
      </w:r>
      <w:r w:rsidRPr="00C628F5">
        <w:rPr>
          <w:rFonts w:ascii="Arial" w:hAnsi="Arial" w:cs="Arial"/>
          <w:b w:val="0"/>
          <w:bCs w:val="0"/>
          <w:u w:val="single"/>
        </w:rPr>
        <w:tab/>
      </w:r>
      <w:r w:rsidRPr="00C628F5">
        <w:rPr>
          <w:rFonts w:ascii="Arial" w:hAnsi="Arial" w:cs="Arial"/>
          <w:b w:val="0"/>
          <w:bCs w:val="0"/>
          <w:u w:val="single"/>
        </w:rPr>
        <w:tab/>
      </w:r>
      <w:r w:rsidRPr="00C628F5">
        <w:rPr>
          <w:rFonts w:ascii="Arial" w:hAnsi="Arial" w:cs="Arial"/>
          <w:b w:val="0"/>
          <w:bCs w:val="0"/>
          <w:u w:val="single"/>
        </w:rPr>
        <w:tab/>
      </w:r>
      <w:r w:rsidRPr="00C628F5">
        <w:rPr>
          <w:rFonts w:ascii="Arial" w:hAnsi="Arial" w:cs="Arial"/>
          <w:b w:val="0"/>
          <w:bCs w:val="0"/>
          <w:u w:val="single"/>
        </w:rPr>
        <w:tab/>
      </w:r>
      <w:r w:rsidRPr="00C628F5">
        <w:rPr>
          <w:rFonts w:ascii="Arial" w:hAnsi="Arial" w:cs="Arial"/>
          <w:b w:val="0"/>
          <w:bCs w:val="0"/>
          <w:u w:val="single"/>
        </w:rPr>
        <w:tab/>
      </w:r>
      <w:r w:rsidRPr="00C628F5">
        <w:rPr>
          <w:rFonts w:ascii="Arial" w:hAnsi="Arial" w:cs="Arial"/>
          <w:b w:val="0"/>
          <w:bCs w:val="0"/>
          <w:u w:val="single"/>
        </w:rPr>
        <w:tab/>
      </w:r>
      <w:r w:rsidRPr="00C628F5">
        <w:rPr>
          <w:rFonts w:ascii="Arial" w:hAnsi="Arial" w:cs="Arial"/>
          <w:b w:val="0"/>
          <w:bCs w:val="0"/>
          <w:u w:val="single"/>
        </w:rPr>
        <w:tab/>
      </w:r>
      <w:r w:rsidRPr="00C628F5">
        <w:rPr>
          <w:rFonts w:ascii="Arial" w:hAnsi="Arial" w:cs="Arial"/>
          <w:b w:val="0"/>
          <w:bCs w:val="0"/>
          <w:u w:val="single"/>
        </w:rPr>
        <w:tab/>
      </w:r>
    </w:p>
    <w:p w:rsidR="003D2BDB" w:rsidRPr="00C628F5" w:rsidRDefault="003D2BDB" w:rsidP="00C628F5">
      <w:pPr>
        <w:rPr>
          <w:rFonts w:ascii="Arial" w:hAnsi="Arial" w:cs="Arial"/>
          <w:b/>
        </w:rPr>
      </w:pPr>
    </w:p>
    <w:p w:rsidR="0013404F" w:rsidRDefault="0013404F" w:rsidP="00C628F5">
      <w:pPr>
        <w:rPr>
          <w:rFonts w:ascii="Arial" w:hAnsi="Arial" w:cs="Arial"/>
        </w:rPr>
      </w:pPr>
      <w:r>
        <w:rPr>
          <w:rFonts w:ascii="Arial" w:hAnsi="Arial" w:cs="Arial"/>
        </w:rPr>
        <w:t xml:space="preserve">As you requested, here is a report on the NCUA Board meeting today that you </w:t>
      </w:r>
      <w:r w:rsidR="0025712D">
        <w:rPr>
          <w:rFonts w:ascii="Arial" w:hAnsi="Arial" w:cs="Arial"/>
        </w:rPr>
        <w:t>attended with us</w:t>
      </w:r>
      <w:r>
        <w:rPr>
          <w:rFonts w:ascii="Arial" w:hAnsi="Arial" w:cs="Arial"/>
        </w:rPr>
        <w:t xml:space="preserve"> and other CUNA staff members</w:t>
      </w:r>
      <w:r w:rsidR="0025712D">
        <w:rPr>
          <w:rFonts w:ascii="Arial" w:hAnsi="Arial" w:cs="Arial"/>
        </w:rPr>
        <w:t>.</w:t>
      </w:r>
      <w:r>
        <w:rPr>
          <w:rFonts w:ascii="Arial" w:hAnsi="Arial" w:cs="Arial"/>
        </w:rPr>
        <w:t xml:space="preserve">  The </w:t>
      </w:r>
      <w:r w:rsidR="007B7D0C">
        <w:rPr>
          <w:rFonts w:ascii="Arial" w:hAnsi="Arial" w:cs="Arial"/>
        </w:rPr>
        <w:t xml:space="preserve">Board approved a program </w:t>
      </w:r>
      <w:r>
        <w:rPr>
          <w:rFonts w:ascii="Arial" w:hAnsi="Arial" w:cs="Arial"/>
        </w:rPr>
        <w:t xml:space="preserve">to allow </w:t>
      </w:r>
      <w:r w:rsidR="007B7D0C">
        <w:rPr>
          <w:rFonts w:ascii="Arial" w:hAnsi="Arial" w:cs="Arial"/>
        </w:rPr>
        <w:t xml:space="preserve">federally-insured credit unions to voluntarily pre-pay </w:t>
      </w:r>
      <w:r>
        <w:rPr>
          <w:rFonts w:ascii="Arial" w:hAnsi="Arial" w:cs="Arial"/>
        </w:rPr>
        <w:t xml:space="preserve">some of their </w:t>
      </w:r>
      <w:r w:rsidR="007B7D0C">
        <w:rPr>
          <w:rFonts w:ascii="Arial" w:hAnsi="Arial" w:cs="Arial"/>
        </w:rPr>
        <w:t>future</w:t>
      </w:r>
      <w:r w:rsidR="00934D40">
        <w:rPr>
          <w:rFonts w:ascii="Arial" w:hAnsi="Arial" w:cs="Arial"/>
        </w:rPr>
        <w:t xml:space="preserve"> Temporary Corporate Credit Union Stabilization Fund</w:t>
      </w:r>
      <w:r w:rsidR="00477A28">
        <w:rPr>
          <w:rFonts w:ascii="Arial" w:hAnsi="Arial" w:cs="Arial"/>
        </w:rPr>
        <w:t xml:space="preserve"> (TCCUSF)</w:t>
      </w:r>
      <w:r w:rsidR="007B7D0C">
        <w:rPr>
          <w:rFonts w:ascii="Arial" w:hAnsi="Arial" w:cs="Arial"/>
        </w:rPr>
        <w:t xml:space="preserve"> assessments. </w:t>
      </w:r>
    </w:p>
    <w:p w:rsidR="00591A33" w:rsidRDefault="00591A33" w:rsidP="00C628F5">
      <w:pPr>
        <w:rPr>
          <w:rFonts w:ascii="Arial" w:hAnsi="Arial" w:cs="Arial"/>
        </w:rPr>
      </w:pPr>
    </w:p>
    <w:p w:rsidR="00FF70B4" w:rsidRDefault="0013404F" w:rsidP="00C628F5">
      <w:pPr>
        <w:rPr>
          <w:rFonts w:ascii="Arial" w:hAnsi="Arial" w:cs="Arial"/>
        </w:rPr>
      </w:pPr>
      <w:r>
        <w:rPr>
          <w:rFonts w:ascii="Arial" w:hAnsi="Arial" w:cs="Arial"/>
        </w:rPr>
        <w:t xml:space="preserve">The Board made changes in the program from the proposal issued in May, </w:t>
      </w:r>
      <w:r w:rsidR="0025712D">
        <w:rPr>
          <w:rFonts w:ascii="Arial" w:hAnsi="Arial" w:cs="Arial"/>
        </w:rPr>
        <w:t>including</w:t>
      </w:r>
      <w:r>
        <w:rPr>
          <w:rFonts w:ascii="Arial" w:hAnsi="Arial" w:cs="Arial"/>
        </w:rPr>
        <w:t xml:space="preserve"> some important revisions that address </w:t>
      </w:r>
      <w:r w:rsidR="0025712D">
        <w:rPr>
          <w:rFonts w:ascii="Arial" w:hAnsi="Arial" w:cs="Arial"/>
        </w:rPr>
        <w:t>concerns</w:t>
      </w:r>
      <w:r>
        <w:rPr>
          <w:rFonts w:ascii="Arial" w:hAnsi="Arial" w:cs="Arial"/>
        </w:rPr>
        <w:t xml:space="preserve"> CUNA raised</w:t>
      </w:r>
      <w:r w:rsidR="0025712D">
        <w:rPr>
          <w:rFonts w:ascii="Arial" w:hAnsi="Arial" w:cs="Arial"/>
        </w:rPr>
        <w:t>, which are highlighted in this summary</w:t>
      </w:r>
      <w:r>
        <w:rPr>
          <w:rFonts w:ascii="Arial" w:hAnsi="Arial" w:cs="Arial"/>
        </w:rPr>
        <w:t xml:space="preserve">.  </w:t>
      </w:r>
      <w:r w:rsidR="00D22F7F">
        <w:rPr>
          <w:rFonts w:ascii="Arial" w:hAnsi="Arial" w:cs="Arial"/>
        </w:rPr>
        <w:t>Each member of the Board emphasized that the program does not benefit NCUA but rather was developed at the request of credit unions and other organizations, which included CUNA</w:t>
      </w:r>
      <w:r w:rsidR="00FF70B4">
        <w:rPr>
          <w:rFonts w:ascii="Arial" w:hAnsi="Arial" w:cs="Arial"/>
        </w:rPr>
        <w:t>, to allow help reduce this year’s assessment and spread out future assessments</w:t>
      </w:r>
      <w:r w:rsidR="006E356D">
        <w:rPr>
          <w:rFonts w:ascii="Arial" w:hAnsi="Arial" w:cs="Arial"/>
        </w:rPr>
        <w:t>.</w:t>
      </w:r>
      <w:r w:rsidR="00D22F7F">
        <w:rPr>
          <w:rFonts w:ascii="Arial" w:hAnsi="Arial" w:cs="Arial"/>
        </w:rPr>
        <w:t xml:space="preserve"> </w:t>
      </w:r>
    </w:p>
    <w:p w:rsidR="00842D65" w:rsidRDefault="00842D65" w:rsidP="00C628F5">
      <w:pPr>
        <w:rPr>
          <w:rFonts w:ascii="Arial" w:hAnsi="Arial" w:cs="Arial"/>
        </w:rPr>
      </w:pPr>
    </w:p>
    <w:p w:rsidR="00842D65" w:rsidRDefault="00842D65" w:rsidP="00C628F5">
      <w:pPr>
        <w:rPr>
          <w:rFonts w:ascii="Arial" w:hAnsi="Arial" w:cs="Arial"/>
        </w:rPr>
      </w:pPr>
      <w:r>
        <w:rPr>
          <w:rFonts w:ascii="Arial" w:hAnsi="Arial" w:cs="Arial"/>
        </w:rPr>
        <w:t>Essentially, here are the changes from the initial proposal:</w:t>
      </w:r>
    </w:p>
    <w:p w:rsidR="00842D65" w:rsidRDefault="00842D65" w:rsidP="00C628F5">
      <w:pPr>
        <w:rPr>
          <w:rFonts w:ascii="Arial" w:hAnsi="Arial" w:cs="Arial"/>
        </w:rPr>
      </w:pPr>
    </w:p>
    <w:p w:rsidR="00842D65" w:rsidRDefault="00842D65" w:rsidP="00842D65">
      <w:pPr>
        <w:pStyle w:val="ListParagraph"/>
        <w:numPr>
          <w:ilvl w:val="0"/>
          <w:numId w:val="18"/>
        </w:numPr>
        <w:rPr>
          <w:rFonts w:ascii="Arial" w:hAnsi="Arial" w:cs="Arial"/>
        </w:rPr>
      </w:pPr>
      <w:r>
        <w:rPr>
          <w:rFonts w:ascii="Arial" w:hAnsi="Arial" w:cs="Arial"/>
        </w:rPr>
        <w:t>The minimum size of the program has been raised from $300 million to $500 million, and that amount has also been set as the maximum size of the program.  In other words, if there are sufficient commitments from credit unions to fund $500 million in prepayments, the program will be implemented at $500 million.  If not, the program will not proceed.</w:t>
      </w:r>
    </w:p>
    <w:p w:rsidR="00842D65" w:rsidRDefault="00842D65" w:rsidP="00842D65">
      <w:pPr>
        <w:pStyle w:val="ListParagraph"/>
        <w:numPr>
          <w:ilvl w:val="0"/>
          <w:numId w:val="18"/>
        </w:numPr>
        <w:rPr>
          <w:rFonts w:ascii="Arial" w:hAnsi="Arial" w:cs="Arial"/>
        </w:rPr>
      </w:pPr>
      <w:r>
        <w:rPr>
          <w:rFonts w:ascii="Arial" w:hAnsi="Arial" w:cs="Arial"/>
        </w:rPr>
        <w:t>At this $500 million level, which amounts to 6.4 basis points (bp) of insured shares, this year’s assessment would be lowered from 24.9 bp to 18.5 bp.</w:t>
      </w:r>
    </w:p>
    <w:p w:rsidR="00842D65" w:rsidRDefault="00842D65" w:rsidP="00842D65">
      <w:pPr>
        <w:pStyle w:val="ListParagraph"/>
        <w:numPr>
          <w:ilvl w:val="0"/>
          <w:numId w:val="18"/>
        </w:numPr>
        <w:rPr>
          <w:rFonts w:ascii="Arial" w:hAnsi="Arial" w:cs="Arial"/>
        </w:rPr>
      </w:pPr>
      <w:r>
        <w:rPr>
          <w:rFonts w:ascii="Arial" w:hAnsi="Arial" w:cs="Arial"/>
        </w:rPr>
        <w:t xml:space="preserve">The minimum </w:t>
      </w:r>
      <w:r w:rsidR="00626A7F">
        <w:rPr>
          <w:rFonts w:ascii="Arial" w:hAnsi="Arial" w:cs="Arial"/>
        </w:rPr>
        <w:t xml:space="preserve">level </w:t>
      </w:r>
      <w:r>
        <w:rPr>
          <w:rFonts w:ascii="Arial" w:hAnsi="Arial" w:cs="Arial"/>
        </w:rPr>
        <w:t xml:space="preserve">for </w:t>
      </w:r>
      <w:r w:rsidR="00626A7F">
        <w:rPr>
          <w:rFonts w:ascii="Arial" w:hAnsi="Arial" w:cs="Arial"/>
        </w:rPr>
        <w:t xml:space="preserve">each credit union’s </w:t>
      </w:r>
      <w:r>
        <w:rPr>
          <w:rFonts w:ascii="Arial" w:hAnsi="Arial" w:cs="Arial"/>
        </w:rPr>
        <w:t xml:space="preserve">participation has been lowered </w:t>
      </w:r>
      <w:r w:rsidR="00E4053C">
        <w:rPr>
          <w:rFonts w:ascii="Arial" w:hAnsi="Arial" w:cs="Arial"/>
        </w:rPr>
        <w:t xml:space="preserve">(to $1,000) </w:t>
      </w:r>
      <w:r>
        <w:rPr>
          <w:rFonts w:ascii="Arial" w:hAnsi="Arial" w:cs="Arial"/>
        </w:rPr>
        <w:t>so that 98% of credit unions are eligible, and the maximum participation per credit union has been raised to 48 basis points of insured shares.</w:t>
      </w:r>
    </w:p>
    <w:p w:rsidR="00842D65" w:rsidRPr="00842D65" w:rsidRDefault="00842D65" w:rsidP="00842D65">
      <w:pPr>
        <w:pStyle w:val="ListParagraph"/>
        <w:numPr>
          <w:ilvl w:val="0"/>
          <w:numId w:val="18"/>
        </w:numPr>
        <w:rPr>
          <w:rFonts w:ascii="Arial" w:hAnsi="Arial" w:cs="Arial"/>
        </w:rPr>
      </w:pPr>
      <w:r>
        <w:rPr>
          <w:rFonts w:ascii="Arial" w:hAnsi="Arial" w:cs="Arial"/>
        </w:rPr>
        <w:t>All prepayments will be applied to reducing this year’s assessment.</w:t>
      </w:r>
    </w:p>
    <w:p w:rsidR="00842D65" w:rsidRDefault="00842D65" w:rsidP="00C628F5">
      <w:pPr>
        <w:rPr>
          <w:rFonts w:ascii="Arial" w:hAnsi="Arial" w:cs="Arial"/>
        </w:rPr>
      </w:pPr>
      <w:r>
        <w:rPr>
          <w:rFonts w:ascii="Arial" w:hAnsi="Arial" w:cs="Arial"/>
        </w:rPr>
        <w:t>Changes that CUNA ha</w:t>
      </w:r>
      <w:r w:rsidR="00626A7F">
        <w:rPr>
          <w:rFonts w:ascii="Arial" w:hAnsi="Arial" w:cs="Arial"/>
        </w:rPr>
        <w:t>d</w:t>
      </w:r>
      <w:r>
        <w:rPr>
          <w:rFonts w:ascii="Arial" w:hAnsi="Arial" w:cs="Arial"/>
        </w:rPr>
        <w:t xml:space="preserve"> requested that were not included in the final plan are:</w:t>
      </w:r>
    </w:p>
    <w:p w:rsidR="00842D65" w:rsidRDefault="00842D65" w:rsidP="00C628F5">
      <w:pPr>
        <w:rPr>
          <w:rFonts w:ascii="Arial" w:hAnsi="Arial" w:cs="Arial"/>
        </w:rPr>
      </w:pPr>
    </w:p>
    <w:p w:rsidR="00842D65" w:rsidRDefault="00842D65" w:rsidP="00842D65">
      <w:pPr>
        <w:pStyle w:val="ListParagraph"/>
        <w:numPr>
          <w:ilvl w:val="0"/>
          <w:numId w:val="19"/>
        </w:numPr>
        <w:rPr>
          <w:rFonts w:ascii="Arial" w:hAnsi="Arial" w:cs="Arial"/>
        </w:rPr>
      </w:pPr>
      <w:r>
        <w:rPr>
          <w:rFonts w:ascii="Arial" w:hAnsi="Arial" w:cs="Arial"/>
        </w:rPr>
        <w:t>The payment of interest on the prepaid amounts.</w:t>
      </w:r>
      <w:r w:rsidR="00591A33">
        <w:rPr>
          <w:rFonts w:ascii="Arial" w:hAnsi="Arial" w:cs="Arial"/>
        </w:rPr>
        <w:t xml:space="preserve">  Agency officials maintain that the law does not allow them to borrow from credit unions on an unsecured basis.</w:t>
      </w:r>
      <w:r>
        <w:rPr>
          <w:rFonts w:ascii="Arial" w:hAnsi="Arial" w:cs="Arial"/>
        </w:rPr>
        <w:t xml:space="preserve">  </w:t>
      </w:r>
    </w:p>
    <w:p w:rsidR="00842D65" w:rsidRPr="00842D65" w:rsidRDefault="00842D65" w:rsidP="00842D65">
      <w:pPr>
        <w:pStyle w:val="ListParagraph"/>
        <w:numPr>
          <w:ilvl w:val="0"/>
          <w:numId w:val="19"/>
        </w:numPr>
        <w:rPr>
          <w:rFonts w:ascii="Arial" w:hAnsi="Arial" w:cs="Arial"/>
        </w:rPr>
      </w:pPr>
      <w:r>
        <w:rPr>
          <w:rFonts w:ascii="Arial" w:hAnsi="Arial" w:cs="Arial"/>
        </w:rPr>
        <w:t xml:space="preserve">A minimum size for the program of $1 billion.  At that level, this year’s assessment could have been reduced to about 12 bp.  Agency officials explained that a prepayment of more than $500 million </w:t>
      </w:r>
      <w:r w:rsidR="00591A33">
        <w:rPr>
          <w:rFonts w:ascii="Arial" w:hAnsi="Arial" w:cs="Arial"/>
        </w:rPr>
        <w:t xml:space="preserve">might </w:t>
      </w:r>
      <w:r>
        <w:rPr>
          <w:rFonts w:ascii="Arial" w:hAnsi="Arial" w:cs="Arial"/>
        </w:rPr>
        <w:t xml:space="preserve">have </w:t>
      </w:r>
      <w:r w:rsidR="00591A33">
        <w:rPr>
          <w:rFonts w:ascii="Arial" w:hAnsi="Arial" w:cs="Arial"/>
        </w:rPr>
        <w:t>created a situation in which the Fund would not receive sufficient cash flows in 2013 and 2014</w:t>
      </w:r>
      <w:r w:rsidR="00626A7F">
        <w:rPr>
          <w:rFonts w:ascii="Arial" w:hAnsi="Arial" w:cs="Arial"/>
        </w:rPr>
        <w:t>,</w:t>
      </w:r>
      <w:r w:rsidR="00591A33">
        <w:rPr>
          <w:rFonts w:ascii="Arial" w:hAnsi="Arial" w:cs="Arial"/>
        </w:rPr>
        <w:t xml:space="preserve"> as too </w:t>
      </w:r>
      <w:r>
        <w:rPr>
          <w:rFonts w:ascii="Arial" w:hAnsi="Arial" w:cs="Arial"/>
        </w:rPr>
        <w:t xml:space="preserve">large a </w:t>
      </w:r>
      <w:r w:rsidR="00591A33">
        <w:rPr>
          <w:rFonts w:ascii="Arial" w:hAnsi="Arial" w:cs="Arial"/>
        </w:rPr>
        <w:t xml:space="preserve">portion of assessments in those years would have been covered by prepayments made this year, rather than new cash in those years. </w:t>
      </w:r>
    </w:p>
    <w:p w:rsidR="0013404F" w:rsidRDefault="00842D65" w:rsidP="00C628F5">
      <w:pPr>
        <w:rPr>
          <w:rFonts w:ascii="Arial" w:hAnsi="Arial" w:cs="Arial"/>
        </w:rPr>
      </w:pPr>
      <w:r w:rsidRPr="00842D65">
        <w:rPr>
          <w:rFonts w:ascii="Arial" w:hAnsi="Arial" w:cs="Arial"/>
        </w:rPr>
        <w:lastRenderedPageBreak/>
        <w:t>Whether the changes result in sufficient benefits to credit unions will be a decision each credit union will have to make.</w:t>
      </w:r>
      <w:r w:rsidR="00591A33">
        <w:rPr>
          <w:rFonts w:ascii="Arial" w:hAnsi="Arial" w:cs="Arial"/>
        </w:rPr>
        <w:t xml:space="preserve">  CUNA appreciates NCUA’s efforts in developing the program, but is disappointed that the program could not have been larger than $500 million, which would have allowed a greater reduction of this year’s assessment.  </w:t>
      </w:r>
      <w:r>
        <w:rPr>
          <w:rFonts w:ascii="Arial" w:hAnsi="Arial" w:cs="Arial"/>
        </w:rPr>
        <w:t xml:space="preserve">  </w:t>
      </w:r>
      <w:r w:rsidR="00D22F7F">
        <w:rPr>
          <w:rFonts w:ascii="Arial" w:hAnsi="Arial" w:cs="Arial"/>
        </w:rPr>
        <w:t xml:space="preserve"> </w:t>
      </w:r>
      <w:r w:rsidR="0013404F">
        <w:rPr>
          <w:rFonts w:ascii="Arial" w:hAnsi="Arial" w:cs="Arial"/>
        </w:rPr>
        <w:t xml:space="preserve"> </w:t>
      </w:r>
    </w:p>
    <w:p w:rsidR="00842D65" w:rsidRDefault="00842D65" w:rsidP="00C628F5">
      <w:pPr>
        <w:rPr>
          <w:rFonts w:ascii="Arial" w:hAnsi="Arial" w:cs="Arial"/>
        </w:rPr>
      </w:pPr>
    </w:p>
    <w:p w:rsidR="00591A33" w:rsidRDefault="00591A33" w:rsidP="00C628F5">
      <w:pPr>
        <w:rPr>
          <w:rFonts w:ascii="Arial" w:hAnsi="Arial" w:cs="Arial"/>
        </w:rPr>
      </w:pPr>
      <w:r>
        <w:rPr>
          <w:rFonts w:ascii="Arial" w:hAnsi="Arial" w:cs="Arial"/>
        </w:rPr>
        <w:t xml:space="preserve">Details of the board meeting and the proposed plan follow. </w:t>
      </w:r>
    </w:p>
    <w:p w:rsidR="00842D65" w:rsidRDefault="00842D65" w:rsidP="00C628F5">
      <w:pPr>
        <w:rPr>
          <w:rFonts w:ascii="Arial" w:hAnsi="Arial" w:cs="Arial"/>
        </w:rPr>
      </w:pPr>
    </w:p>
    <w:p w:rsidR="00B11F83" w:rsidRDefault="00B11F83" w:rsidP="00B11F83">
      <w:pPr>
        <w:rPr>
          <w:rFonts w:ascii="Arial" w:hAnsi="Arial" w:cs="Arial"/>
        </w:rPr>
      </w:pPr>
      <w:r>
        <w:rPr>
          <w:rFonts w:ascii="Arial" w:hAnsi="Arial" w:cs="Arial"/>
        </w:rPr>
        <w:t xml:space="preserve">The NCUA Board Action Memorandum approving the TCCUSF prepayment program, the prepayment program’s terms and conditions, and the instructions for making a prepayment under the program are available as attachments to the Board’s meeting </w:t>
      </w:r>
      <w:hyperlink r:id="rId9" w:history="1">
        <w:r>
          <w:rPr>
            <w:rStyle w:val="Hyperlink"/>
            <w:rFonts w:ascii="Arial" w:hAnsi="Arial" w:cs="Arial"/>
          </w:rPr>
          <w:t>agenda</w:t>
        </w:r>
      </w:hyperlink>
      <w:r>
        <w:rPr>
          <w:rFonts w:ascii="Arial" w:hAnsi="Arial" w:cs="Arial"/>
        </w:rPr>
        <w:t>.</w:t>
      </w:r>
    </w:p>
    <w:p w:rsidR="00934D40" w:rsidRDefault="00934D40" w:rsidP="00C628F5">
      <w:pPr>
        <w:rPr>
          <w:rFonts w:ascii="Arial" w:hAnsi="Arial" w:cs="Arial"/>
        </w:rPr>
      </w:pPr>
    </w:p>
    <w:p w:rsidR="00121A1F" w:rsidRPr="008F1CA8" w:rsidRDefault="00D22F7F" w:rsidP="008F1CA8">
      <w:pPr>
        <w:outlineLvl w:val="3"/>
        <w:rPr>
          <w:rFonts w:ascii="Arial" w:hAnsi="Arial" w:cs="Arial"/>
          <w:b/>
          <w:bCs/>
          <w:color w:val="000000"/>
        </w:rPr>
      </w:pPr>
      <w:r>
        <w:rPr>
          <w:rFonts w:ascii="Arial" w:hAnsi="Arial" w:cs="Arial"/>
          <w:b/>
          <w:bCs/>
          <w:color w:val="000000"/>
        </w:rPr>
        <w:t xml:space="preserve">Elements of the </w:t>
      </w:r>
      <w:r w:rsidR="007B7D0C" w:rsidRPr="007B7D0C">
        <w:rPr>
          <w:rFonts w:ascii="Arial" w:hAnsi="Arial" w:cs="Arial"/>
          <w:b/>
          <w:bCs/>
          <w:color w:val="000000"/>
        </w:rPr>
        <w:t>Voluntary Prepayment of Corporate Stabilization Fund Assessment</w:t>
      </w:r>
    </w:p>
    <w:p w:rsidR="00D22F7F" w:rsidRDefault="00D22F7F" w:rsidP="008F1CA8">
      <w:pPr>
        <w:contextualSpacing/>
        <w:rPr>
          <w:rFonts w:ascii="Arial" w:hAnsi="Arial" w:cs="Arial"/>
        </w:rPr>
      </w:pPr>
    </w:p>
    <w:p w:rsidR="007B7D0C" w:rsidRDefault="00D22F7F" w:rsidP="008F1CA8">
      <w:pPr>
        <w:contextualSpacing/>
        <w:rPr>
          <w:rFonts w:ascii="Arial" w:hAnsi="Arial" w:cs="Arial"/>
        </w:rPr>
      </w:pPr>
      <w:r>
        <w:rPr>
          <w:rFonts w:ascii="Arial" w:hAnsi="Arial" w:cs="Arial"/>
        </w:rPr>
        <w:t xml:space="preserve">As adopted by the </w:t>
      </w:r>
      <w:r w:rsidR="00B03AB9">
        <w:rPr>
          <w:rFonts w:ascii="Arial" w:hAnsi="Arial" w:cs="Arial"/>
        </w:rPr>
        <w:t>Board</w:t>
      </w:r>
      <w:r>
        <w:rPr>
          <w:rFonts w:ascii="Arial" w:hAnsi="Arial" w:cs="Arial"/>
        </w:rPr>
        <w:t>, the provisions of the prepayment pla</w:t>
      </w:r>
      <w:r w:rsidR="001A022F">
        <w:rPr>
          <w:rFonts w:ascii="Arial" w:hAnsi="Arial" w:cs="Arial"/>
        </w:rPr>
        <w:t>n</w:t>
      </w:r>
      <w:r w:rsidR="00B03AB9">
        <w:rPr>
          <w:rFonts w:ascii="Arial" w:hAnsi="Arial" w:cs="Arial"/>
        </w:rPr>
        <w:t xml:space="preserve"> include</w:t>
      </w:r>
      <w:r w:rsidR="00915BC3">
        <w:rPr>
          <w:rFonts w:ascii="Arial" w:hAnsi="Arial" w:cs="Arial"/>
        </w:rPr>
        <w:t>:</w:t>
      </w:r>
    </w:p>
    <w:p w:rsidR="00934D40" w:rsidRDefault="00934D40" w:rsidP="008F1CA8">
      <w:pPr>
        <w:contextualSpacing/>
        <w:rPr>
          <w:rFonts w:ascii="Arial" w:hAnsi="Arial" w:cs="Arial"/>
        </w:rPr>
      </w:pPr>
      <w:r>
        <w:rPr>
          <w:rFonts w:ascii="Arial" w:hAnsi="Arial" w:cs="Arial"/>
        </w:rPr>
        <w:t xml:space="preserve"> </w:t>
      </w:r>
      <w:r w:rsidR="008F1CA8">
        <w:rPr>
          <w:rFonts w:ascii="Arial" w:hAnsi="Arial" w:cs="Arial"/>
        </w:rPr>
        <w:t xml:space="preserve"> </w:t>
      </w:r>
    </w:p>
    <w:p w:rsidR="00D22F7F" w:rsidRDefault="00915BC3" w:rsidP="00B03AB9">
      <w:pPr>
        <w:pStyle w:val="Default"/>
        <w:numPr>
          <w:ilvl w:val="0"/>
          <w:numId w:val="15"/>
        </w:numPr>
        <w:adjustRightInd/>
        <w:spacing w:after="240"/>
      </w:pPr>
      <w:r w:rsidRPr="00915BC3">
        <w:t xml:space="preserve">The minimum </w:t>
      </w:r>
      <w:r w:rsidR="001A022F">
        <w:t xml:space="preserve">amount </w:t>
      </w:r>
      <w:r w:rsidRPr="00915BC3">
        <w:t>individual credit union</w:t>
      </w:r>
      <w:r w:rsidR="001A022F">
        <w:t>s could provide</w:t>
      </w:r>
      <w:r w:rsidRPr="00915BC3">
        <w:t xml:space="preserve"> </w:t>
      </w:r>
      <w:r w:rsidR="001A022F">
        <w:t xml:space="preserve">would </w:t>
      </w:r>
      <w:proofErr w:type="gramStart"/>
      <w:r w:rsidR="001A022F">
        <w:t xml:space="preserve">be </w:t>
      </w:r>
      <w:r w:rsidRPr="00915BC3">
        <w:t xml:space="preserve"> $</w:t>
      </w:r>
      <w:proofErr w:type="gramEnd"/>
      <w:r w:rsidRPr="00915BC3">
        <w:t xml:space="preserve">1,000 or </w:t>
      </w:r>
      <w:r w:rsidR="00B03AB9">
        <w:t>5 bp</w:t>
      </w:r>
      <w:r w:rsidR="001A022F">
        <w:t xml:space="preserve"> based on </w:t>
      </w:r>
      <w:r w:rsidRPr="00915BC3">
        <w:t>March 31, 2011</w:t>
      </w:r>
      <w:r w:rsidR="001A022F">
        <w:t xml:space="preserve"> insured shares, whichever is greater.</w:t>
      </w:r>
      <w:r>
        <w:t xml:space="preserve"> </w:t>
      </w:r>
      <w:r w:rsidR="00D22F7F">
        <w:t>The agency had</w:t>
      </w:r>
      <w:r>
        <w:t xml:space="preserve"> proposed </w:t>
      </w:r>
      <w:r w:rsidR="00D22F7F">
        <w:t xml:space="preserve">a </w:t>
      </w:r>
      <w:r>
        <w:t>$10,000 minimum contribution</w:t>
      </w:r>
      <w:r w:rsidRPr="00915BC3">
        <w:t>.</w:t>
      </w:r>
      <w:r w:rsidR="00D22F7F">
        <w:t xml:space="preserve"> This </w:t>
      </w:r>
      <w:r w:rsidR="003653C0">
        <w:t xml:space="preserve">change </w:t>
      </w:r>
      <w:r w:rsidR="00D22F7F">
        <w:t xml:space="preserve">will enable smaller credit unions to </w:t>
      </w:r>
      <w:r w:rsidR="003653C0">
        <w:t>participate</w:t>
      </w:r>
      <w:r w:rsidR="00D22F7F">
        <w:t xml:space="preserve"> if </w:t>
      </w:r>
      <w:r w:rsidR="003653C0">
        <w:t>they</w:t>
      </w:r>
      <w:r w:rsidR="00D22F7F">
        <w:t xml:space="preserve"> choose to do so, a result that CUNA urged. </w:t>
      </w:r>
    </w:p>
    <w:p w:rsidR="00915BC3" w:rsidRPr="00915BC3" w:rsidRDefault="00915BC3" w:rsidP="00B03AB9">
      <w:pPr>
        <w:pStyle w:val="Default"/>
        <w:numPr>
          <w:ilvl w:val="0"/>
          <w:numId w:val="15"/>
        </w:numPr>
        <w:adjustRightInd/>
        <w:spacing w:after="240"/>
      </w:pPr>
      <w:r w:rsidRPr="00915BC3">
        <w:t xml:space="preserve">The maximum individual credit union participation amount is </w:t>
      </w:r>
      <w:r w:rsidR="00B03AB9">
        <w:t xml:space="preserve">48 basis points </w:t>
      </w:r>
      <w:r w:rsidR="003653C0">
        <w:t xml:space="preserve">based on </w:t>
      </w:r>
      <w:r w:rsidRPr="00915BC3">
        <w:t>insured shares as of March 31, 2011</w:t>
      </w:r>
      <w:r w:rsidR="00D22F7F">
        <w:t xml:space="preserve">. </w:t>
      </w:r>
      <w:r>
        <w:t xml:space="preserve"> </w:t>
      </w:r>
      <w:r w:rsidR="003653C0">
        <w:t xml:space="preserve">NCUA had proposed a maximum of </w:t>
      </w:r>
      <w:r w:rsidR="00B03AB9">
        <w:t>36 basis points</w:t>
      </w:r>
      <w:r w:rsidR="003653C0">
        <w:t xml:space="preserve">. This </w:t>
      </w:r>
      <w:r w:rsidR="001A022F">
        <w:t xml:space="preserve">change </w:t>
      </w:r>
      <w:r w:rsidR="003653C0">
        <w:t xml:space="preserve">will help address issues raised by some of the 169 credit unions that commented on the proposal that they want to provide larger prepayments now. (There were 184 total comment letters filed, including letters from leagues and CUNA.)  </w:t>
      </w:r>
    </w:p>
    <w:p w:rsidR="00934D40" w:rsidRPr="00915BC3" w:rsidRDefault="00B03AB9" w:rsidP="001A022F">
      <w:pPr>
        <w:pStyle w:val="Default"/>
        <w:numPr>
          <w:ilvl w:val="0"/>
          <w:numId w:val="15"/>
        </w:numPr>
        <w:adjustRightInd/>
        <w:spacing w:after="240"/>
      </w:pPr>
      <w:r>
        <w:t>The size of the p</w:t>
      </w:r>
      <w:r w:rsidR="00915BC3" w:rsidRPr="00915BC3">
        <w:t xml:space="preserve">rogram is </w:t>
      </w:r>
      <w:r w:rsidR="003653C0">
        <w:t xml:space="preserve">capped at </w:t>
      </w:r>
      <w:r w:rsidR="00915BC3" w:rsidRPr="00915BC3">
        <w:t>$500 million</w:t>
      </w:r>
      <w:r w:rsidR="003653C0">
        <w:t>.</w:t>
      </w:r>
      <w:r w:rsidR="0063472B" w:rsidRPr="0063472B">
        <w:t xml:space="preserve"> </w:t>
      </w:r>
      <w:r w:rsidR="00915BC3" w:rsidRPr="00915BC3">
        <w:t>If less than $500 million is committed</w:t>
      </w:r>
      <w:r w:rsidR="003653C0">
        <w:t xml:space="preserve"> by federally insured credi</w:t>
      </w:r>
      <w:r w:rsidR="001A022F">
        <w:t>t</w:t>
      </w:r>
      <w:r w:rsidR="003653C0">
        <w:t xml:space="preserve"> unions</w:t>
      </w:r>
      <w:r w:rsidR="00E4053C">
        <w:t>,</w:t>
      </w:r>
      <w:r>
        <w:t xml:space="preserve"> the agency </w:t>
      </w:r>
      <w:r w:rsidR="003653C0">
        <w:t xml:space="preserve">said </w:t>
      </w:r>
      <w:r>
        <w:t xml:space="preserve">it </w:t>
      </w:r>
      <w:r w:rsidR="00915BC3" w:rsidRPr="00915BC3">
        <w:t xml:space="preserve">will not implement the program. If more than $500 million is committed, </w:t>
      </w:r>
      <w:r w:rsidR="003653C0">
        <w:t xml:space="preserve">prepayments from credit unions will be </w:t>
      </w:r>
      <w:r w:rsidR="00915BC3" w:rsidRPr="001A022F">
        <w:rPr>
          <w:iCs/>
        </w:rPr>
        <w:t>prorat</w:t>
      </w:r>
      <w:r w:rsidR="003653C0" w:rsidRPr="001A022F">
        <w:rPr>
          <w:iCs/>
        </w:rPr>
        <w:t>ed</w:t>
      </w:r>
      <w:r w:rsidR="00915BC3" w:rsidRPr="00915BC3">
        <w:t xml:space="preserve"> </w:t>
      </w:r>
      <w:r w:rsidR="003653C0">
        <w:t xml:space="preserve">in order not to exceed the </w:t>
      </w:r>
      <w:r w:rsidR="00915BC3" w:rsidRPr="00915BC3">
        <w:t xml:space="preserve">$500 million target. </w:t>
      </w:r>
      <w:r w:rsidR="003653C0">
        <w:t xml:space="preserve"> </w:t>
      </w:r>
      <w:r w:rsidR="0063472B">
        <w:t xml:space="preserve">CUNA had urged the agency to set the target level </w:t>
      </w:r>
      <w:proofErr w:type="gramStart"/>
      <w:r w:rsidR="0063472B">
        <w:t>at  $</w:t>
      </w:r>
      <w:proofErr w:type="gramEnd"/>
      <w:r w:rsidR="0063472B">
        <w:t>1 billion in prepaid assessments, in order to maximize benefits to credit unions.  However, t</w:t>
      </w:r>
      <w:r w:rsidR="001A022F">
        <w:t xml:space="preserve">he agency </w:t>
      </w:r>
      <w:r w:rsidR="0063472B">
        <w:t>said it i</w:t>
      </w:r>
      <w:r w:rsidR="001A022F">
        <w:t xml:space="preserve">s concerned that if more than $500 million is brought in now, it could affect future cash flow needs of the Fund </w:t>
      </w:r>
      <w:r w:rsidR="0063472B">
        <w:t>and</w:t>
      </w:r>
      <w:r w:rsidR="001A022F">
        <w:t xml:space="preserve"> the </w:t>
      </w:r>
      <w:r w:rsidR="00D57E3E">
        <w:t>TCCUSF</w:t>
      </w:r>
      <w:r w:rsidR="001A022F">
        <w:t xml:space="preserve">’s borrowing capacity for future years. </w:t>
      </w:r>
      <w:r>
        <w:t xml:space="preserve">The </w:t>
      </w:r>
      <w:r w:rsidR="001A022F">
        <w:t>Board said t</w:t>
      </w:r>
      <w:r>
        <w:t>h</w:t>
      </w:r>
      <w:r w:rsidR="001A022F">
        <w:t xml:space="preserve">at limiting the size of the program to $500 million will provide </w:t>
      </w:r>
      <w:r w:rsidR="00915BC3" w:rsidRPr="00915BC3">
        <w:t xml:space="preserve">flexibility </w:t>
      </w:r>
      <w:r w:rsidR="001A022F">
        <w:t>to</w:t>
      </w:r>
      <w:r w:rsidR="00915BC3" w:rsidRPr="00915BC3">
        <w:t xml:space="preserve"> manag</w:t>
      </w:r>
      <w:r w:rsidR="001A022F">
        <w:t>e</w:t>
      </w:r>
      <w:r w:rsidR="00915BC3" w:rsidRPr="00915BC3">
        <w:t xml:space="preserve"> the </w:t>
      </w:r>
      <w:r w:rsidR="0063472B">
        <w:t xml:space="preserve">impact of </w:t>
      </w:r>
      <w:r w:rsidR="00915BC3" w:rsidRPr="00915BC3">
        <w:t>regular annual assessments, which are an expense to credit unions</w:t>
      </w:r>
      <w:r w:rsidR="00626A7F">
        <w:t>,</w:t>
      </w:r>
      <w:r w:rsidR="00915BC3" w:rsidRPr="00915BC3">
        <w:t xml:space="preserve"> and manag</w:t>
      </w:r>
      <w:r w:rsidR="001A022F">
        <w:t>e</w:t>
      </w:r>
      <w:r w:rsidR="00915BC3" w:rsidRPr="00915BC3">
        <w:t xml:space="preserve"> the cash </w:t>
      </w:r>
      <w:r w:rsidR="001A022F">
        <w:t xml:space="preserve">flow </w:t>
      </w:r>
      <w:r w:rsidR="00915BC3" w:rsidRPr="00915BC3">
        <w:t>needs</w:t>
      </w:r>
      <w:r w:rsidR="005874C9">
        <w:t xml:space="preserve"> of the TCCUSF</w:t>
      </w:r>
      <w:r w:rsidR="00915BC3" w:rsidRPr="00915BC3">
        <w:t xml:space="preserve"> </w:t>
      </w:r>
      <w:r w:rsidR="006E356D">
        <w:t xml:space="preserve">and its line of credit with the </w:t>
      </w:r>
      <w:r w:rsidR="00915BC3" w:rsidRPr="00915BC3">
        <w:t>Treasury over the next 4 years</w:t>
      </w:r>
      <w:r>
        <w:t>.</w:t>
      </w:r>
    </w:p>
    <w:p w:rsidR="00D57E3E" w:rsidRDefault="003718D7" w:rsidP="00525C41">
      <w:pPr>
        <w:pStyle w:val="Default"/>
        <w:numPr>
          <w:ilvl w:val="0"/>
          <w:numId w:val="16"/>
        </w:numPr>
        <w:adjustRightInd/>
        <w:spacing w:after="38"/>
        <w:rPr>
          <w:sz w:val="23"/>
          <w:szCs w:val="23"/>
        </w:rPr>
      </w:pPr>
      <w:r>
        <w:rPr>
          <w:sz w:val="23"/>
          <w:szCs w:val="23"/>
        </w:rPr>
        <w:t xml:space="preserve">Participation is </w:t>
      </w:r>
      <w:r w:rsidR="00D57E3E">
        <w:rPr>
          <w:sz w:val="23"/>
          <w:szCs w:val="23"/>
        </w:rPr>
        <w:t xml:space="preserve">strictly </w:t>
      </w:r>
      <w:r>
        <w:rPr>
          <w:sz w:val="23"/>
          <w:szCs w:val="23"/>
        </w:rPr>
        <w:t>voluntary and any federally-insured credit union that meets the commitment conditions may participate</w:t>
      </w:r>
      <w:r w:rsidR="00D57E3E">
        <w:rPr>
          <w:sz w:val="23"/>
          <w:szCs w:val="23"/>
        </w:rPr>
        <w:t xml:space="preserve">. </w:t>
      </w:r>
    </w:p>
    <w:p w:rsidR="00D57E3E" w:rsidRDefault="00D57E3E" w:rsidP="00D57E3E">
      <w:pPr>
        <w:pStyle w:val="Default"/>
        <w:adjustRightInd/>
        <w:spacing w:after="38"/>
        <w:ind w:left="720"/>
        <w:rPr>
          <w:sz w:val="23"/>
          <w:szCs w:val="23"/>
        </w:rPr>
      </w:pPr>
    </w:p>
    <w:p w:rsidR="00BC7686" w:rsidRPr="00E4053C" w:rsidRDefault="00D57E3E" w:rsidP="00E4053C">
      <w:pPr>
        <w:pStyle w:val="Default"/>
        <w:numPr>
          <w:ilvl w:val="0"/>
          <w:numId w:val="16"/>
        </w:numPr>
        <w:adjustRightInd/>
        <w:spacing w:after="38"/>
        <w:rPr>
          <w:sz w:val="23"/>
          <w:szCs w:val="23"/>
        </w:rPr>
      </w:pPr>
      <w:r w:rsidRPr="00E4053C">
        <w:rPr>
          <w:sz w:val="23"/>
          <w:szCs w:val="23"/>
        </w:rPr>
        <w:lastRenderedPageBreak/>
        <w:t xml:space="preserve">NCUA will add a line for the </w:t>
      </w:r>
      <w:r w:rsidR="00626A7F" w:rsidRPr="00E4053C">
        <w:rPr>
          <w:sz w:val="23"/>
          <w:szCs w:val="23"/>
        </w:rPr>
        <w:t>prepayment</w:t>
      </w:r>
      <w:r w:rsidRPr="00E4053C">
        <w:rPr>
          <w:sz w:val="23"/>
          <w:szCs w:val="23"/>
        </w:rPr>
        <w:t xml:space="preserve"> on the 5300 Call Report after September 30, 2011. </w:t>
      </w:r>
      <w:r w:rsidR="00E4053C">
        <w:rPr>
          <w:sz w:val="23"/>
          <w:szCs w:val="23"/>
        </w:rPr>
        <w:t>This will allow the NCUA to exclude the prepayment amount from the calculation of a credit union</w:t>
      </w:r>
      <w:r w:rsidR="002731CF">
        <w:rPr>
          <w:sz w:val="23"/>
          <w:szCs w:val="23"/>
        </w:rPr>
        <w:t>’</w:t>
      </w:r>
      <w:r w:rsidR="00E4053C">
        <w:rPr>
          <w:sz w:val="23"/>
          <w:szCs w:val="23"/>
        </w:rPr>
        <w:t>s risk based net worth.</w:t>
      </w:r>
    </w:p>
    <w:p w:rsidR="00E4053C" w:rsidRPr="00E4053C" w:rsidRDefault="00E4053C" w:rsidP="00E4053C">
      <w:pPr>
        <w:pStyle w:val="Default"/>
        <w:adjustRightInd/>
        <w:spacing w:after="38"/>
        <w:rPr>
          <w:sz w:val="23"/>
          <w:szCs w:val="23"/>
        </w:rPr>
      </w:pPr>
    </w:p>
    <w:p w:rsidR="00D57E3E" w:rsidRDefault="00D57E3E" w:rsidP="00BC7686">
      <w:pPr>
        <w:pStyle w:val="Default"/>
        <w:numPr>
          <w:ilvl w:val="0"/>
          <w:numId w:val="16"/>
        </w:numPr>
        <w:adjustRightInd/>
        <w:spacing w:after="38"/>
        <w:rPr>
          <w:sz w:val="23"/>
          <w:szCs w:val="23"/>
        </w:rPr>
      </w:pPr>
      <w:r>
        <w:rPr>
          <w:sz w:val="23"/>
          <w:szCs w:val="23"/>
        </w:rPr>
        <w:t xml:space="preserve">Here is the timeline NCUA said it would follow regarding the </w:t>
      </w:r>
      <w:r w:rsidR="005874C9">
        <w:rPr>
          <w:sz w:val="23"/>
          <w:szCs w:val="23"/>
        </w:rPr>
        <w:t>commitment</w:t>
      </w:r>
      <w:r>
        <w:rPr>
          <w:sz w:val="23"/>
          <w:szCs w:val="23"/>
        </w:rPr>
        <w:t xml:space="preserve"> and collection process for the prepayments: </w:t>
      </w:r>
    </w:p>
    <w:p w:rsidR="00626A7F" w:rsidRDefault="00626A7F" w:rsidP="00626A7F">
      <w:pPr>
        <w:pStyle w:val="Default"/>
        <w:adjustRightInd/>
        <w:spacing w:after="38"/>
        <w:ind w:left="1440"/>
        <w:rPr>
          <w:sz w:val="23"/>
          <w:szCs w:val="23"/>
        </w:rPr>
      </w:pPr>
    </w:p>
    <w:p w:rsidR="006E356D" w:rsidRDefault="00D57E3E" w:rsidP="00D57E3E">
      <w:pPr>
        <w:pStyle w:val="Default"/>
        <w:numPr>
          <w:ilvl w:val="1"/>
          <w:numId w:val="16"/>
        </w:numPr>
        <w:adjustRightInd/>
        <w:spacing w:after="38"/>
        <w:rPr>
          <w:sz w:val="23"/>
          <w:szCs w:val="23"/>
        </w:rPr>
      </w:pPr>
      <w:r w:rsidRPr="006E356D">
        <w:rPr>
          <w:sz w:val="23"/>
          <w:szCs w:val="23"/>
        </w:rPr>
        <w:t xml:space="preserve">NCUA will be sending a letter to credit unions, possibly today, regarding the prepayment program and plans to hold a webinar July 11 on the details of the prepaid assessments.  The letter will include </w:t>
      </w:r>
      <w:r w:rsidR="005874C9">
        <w:rPr>
          <w:sz w:val="23"/>
          <w:szCs w:val="23"/>
        </w:rPr>
        <w:t xml:space="preserve">instructions and </w:t>
      </w:r>
      <w:r w:rsidRPr="006E356D">
        <w:rPr>
          <w:sz w:val="23"/>
          <w:szCs w:val="23"/>
        </w:rPr>
        <w:t xml:space="preserve">program </w:t>
      </w:r>
      <w:r w:rsidR="005874C9" w:rsidRPr="006E356D">
        <w:rPr>
          <w:sz w:val="23"/>
          <w:szCs w:val="23"/>
        </w:rPr>
        <w:t>agreements</w:t>
      </w:r>
      <w:r w:rsidR="00FF70B4" w:rsidRPr="006E356D">
        <w:rPr>
          <w:sz w:val="23"/>
          <w:szCs w:val="23"/>
        </w:rPr>
        <w:t xml:space="preserve"> </w:t>
      </w:r>
      <w:r w:rsidR="005874C9" w:rsidRPr="006E356D">
        <w:rPr>
          <w:sz w:val="23"/>
          <w:szCs w:val="23"/>
        </w:rPr>
        <w:t>interested</w:t>
      </w:r>
      <w:r w:rsidRPr="006E356D">
        <w:rPr>
          <w:sz w:val="23"/>
          <w:szCs w:val="23"/>
        </w:rPr>
        <w:t xml:space="preserve"> credit unions must comp</w:t>
      </w:r>
      <w:r w:rsidR="005874C9">
        <w:rPr>
          <w:sz w:val="23"/>
          <w:szCs w:val="23"/>
        </w:rPr>
        <w:t>l</w:t>
      </w:r>
      <w:r w:rsidRPr="006E356D">
        <w:rPr>
          <w:sz w:val="23"/>
          <w:szCs w:val="23"/>
        </w:rPr>
        <w:t>ete and file with NCUA</w:t>
      </w:r>
      <w:r w:rsidR="005874C9">
        <w:rPr>
          <w:sz w:val="23"/>
          <w:szCs w:val="23"/>
        </w:rPr>
        <w:t>.</w:t>
      </w:r>
      <w:r w:rsidR="00FF70B4" w:rsidRPr="006E356D">
        <w:rPr>
          <w:sz w:val="23"/>
          <w:szCs w:val="23"/>
        </w:rPr>
        <w:t xml:space="preserve"> </w:t>
      </w:r>
    </w:p>
    <w:p w:rsidR="00D57E3E" w:rsidRPr="006E356D" w:rsidRDefault="00D57E3E" w:rsidP="00D57E3E">
      <w:pPr>
        <w:pStyle w:val="Default"/>
        <w:numPr>
          <w:ilvl w:val="1"/>
          <w:numId w:val="16"/>
        </w:numPr>
        <w:adjustRightInd/>
        <w:spacing w:after="38"/>
        <w:rPr>
          <w:sz w:val="23"/>
          <w:szCs w:val="23"/>
        </w:rPr>
      </w:pPr>
      <w:r w:rsidRPr="006E356D">
        <w:rPr>
          <w:sz w:val="23"/>
          <w:szCs w:val="23"/>
        </w:rPr>
        <w:t xml:space="preserve">By July 29, 2011, NCUA must receive the completed program form from </w:t>
      </w:r>
      <w:r w:rsidR="005874C9" w:rsidRPr="006E356D">
        <w:rPr>
          <w:sz w:val="23"/>
          <w:szCs w:val="23"/>
        </w:rPr>
        <w:t>interested</w:t>
      </w:r>
      <w:r w:rsidRPr="006E356D">
        <w:rPr>
          <w:sz w:val="23"/>
          <w:szCs w:val="23"/>
        </w:rPr>
        <w:t xml:space="preserve"> </w:t>
      </w:r>
      <w:r w:rsidR="005874C9" w:rsidRPr="006E356D">
        <w:rPr>
          <w:sz w:val="23"/>
          <w:szCs w:val="23"/>
        </w:rPr>
        <w:t>credit</w:t>
      </w:r>
      <w:r w:rsidRPr="006E356D">
        <w:rPr>
          <w:sz w:val="23"/>
          <w:szCs w:val="23"/>
        </w:rPr>
        <w:t xml:space="preserve"> </w:t>
      </w:r>
      <w:r w:rsidR="005874C9" w:rsidRPr="006E356D">
        <w:rPr>
          <w:sz w:val="23"/>
          <w:szCs w:val="23"/>
        </w:rPr>
        <w:t>unions</w:t>
      </w:r>
      <w:r w:rsidRPr="006E356D">
        <w:rPr>
          <w:sz w:val="23"/>
          <w:szCs w:val="23"/>
        </w:rPr>
        <w:t xml:space="preserve">. </w:t>
      </w:r>
    </w:p>
    <w:p w:rsidR="00D57E3E" w:rsidRDefault="00D57E3E" w:rsidP="00D57E3E">
      <w:pPr>
        <w:pStyle w:val="Default"/>
        <w:numPr>
          <w:ilvl w:val="1"/>
          <w:numId w:val="16"/>
        </w:numPr>
        <w:adjustRightInd/>
        <w:spacing w:after="38"/>
        <w:rPr>
          <w:sz w:val="23"/>
          <w:szCs w:val="23"/>
        </w:rPr>
      </w:pPr>
      <w:r>
        <w:rPr>
          <w:sz w:val="23"/>
          <w:szCs w:val="23"/>
        </w:rPr>
        <w:t xml:space="preserve">On August 9, 2011, NCUA will email all credit </w:t>
      </w:r>
      <w:r w:rsidR="005874C9">
        <w:rPr>
          <w:sz w:val="23"/>
          <w:szCs w:val="23"/>
        </w:rPr>
        <w:t>unions</w:t>
      </w:r>
      <w:r>
        <w:rPr>
          <w:sz w:val="23"/>
          <w:szCs w:val="23"/>
        </w:rPr>
        <w:t xml:space="preserve"> that submitted forms about the </w:t>
      </w:r>
      <w:r w:rsidR="005874C9">
        <w:rPr>
          <w:sz w:val="23"/>
          <w:szCs w:val="23"/>
        </w:rPr>
        <w:t>results</w:t>
      </w:r>
      <w:r>
        <w:rPr>
          <w:sz w:val="23"/>
          <w:szCs w:val="23"/>
        </w:rPr>
        <w:t xml:space="preserve"> of the total </w:t>
      </w:r>
      <w:r w:rsidR="005874C9">
        <w:rPr>
          <w:sz w:val="23"/>
          <w:szCs w:val="23"/>
        </w:rPr>
        <w:t>commitments</w:t>
      </w:r>
      <w:r>
        <w:rPr>
          <w:sz w:val="23"/>
          <w:szCs w:val="23"/>
        </w:rPr>
        <w:t>.</w:t>
      </w:r>
    </w:p>
    <w:p w:rsidR="00FF70B4" w:rsidRDefault="00FF70B4" w:rsidP="00D57E3E">
      <w:pPr>
        <w:pStyle w:val="Default"/>
        <w:numPr>
          <w:ilvl w:val="1"/>
          <w:numId w:val="16"/>
        </w:numPr>
        <w:adjustRightInd/>
        <w:spacing w:after="38"/>
        <w:rPr>
          <w:sz w:val="23"/>
          <w:szCs w:val="23"/>
        </w:rPr>
      </w:pPr>
      <w:r>
        <w:rPr>
          <w:sz w:val="23"/>
          <w:szCs w:val="23"/>
        </w:rPr>
        <w:t>On August 18,</w:t>
      </w:r>
      <w:r w:rsidR="005874C9">
        <w:rPr>
          <w:sz w:val="23"/>
          <w:szCs w:val="23"/>
        </w:rPr>
        <w:t xml:space="preserve"> </w:t>
      </w:r>
      <w:r>
        <w:rPr>
          <w:sz w:val="23"/>
          <w:szCs w:val="23"/>
        </w:rPr>
        <w:t xml:space="preserve">if the </w:t>
      </w:r>
      <w:r w:rsidR="006E356D">
        <w:rPr>
          <w:sz w:val="23"/>
          <w:szCs w:val="23"/>
        </w:rPr>
        <w:t>minimum</w:t>
      </w:r>
      <w:r>
        <w:rPr>
          <w:sz w:val="23"/>
          <w:szCs w:val="23"/>
        </w:rPr>
        <w:t xml:space="preserve"> target </w:t>
      </w:r>
      <w:r w:rsidR="005874C9">
        <w:rPr>
          <w:sz w:val="23"/>
          <w:szCs w:val="23"/>
        </w:rPr>
        <w:t>volume</w:t>
      </w:r>
      <w:r>
        <w:rPr>
          <w:sz w:val="23"/>
          <w:szCs w:val="23"/>
        </w:rPr>
        <w:t xml:space="preserve"> of </w:t>
      </w:r>
      <w:r w:rsidR="005874C9">
        <w:rPr>
          <w:sz w:val="23"/>
          <w:szCs w:val="23"/>
        </w:rPr>
        <w:t>commitments</w:t>
      </w:r>
      <w:r>
        <w:rPr>
          <w:sz w:val="23"/>
          <w:szCs w:val="23"/>
        </w:rPr>
        <w:t xml:space="preserve"> is </w:t>
      </w:r>
      <w:r w:rsidR="005874C9">
        <w:rPr>
          <w:sz w:val="23"/>
          <w:szCs w:val="23"/>
        </w:rPr>
        <w:t>reached</w:t>
      </w:r>
      <w:r>
        <w:rPr>
          <w:sz w:val="23"/>
          <w:szCs w:val="23"/>
        </w:rPr>
        <w:t xml:space="preserve">, NCUA will directly </w:t>
      </w:r>
      <w:r w:rsidR="005874C9">
        <w:rPr>
          <w:sz w:val="23"/>
          <w:szCs w:val="23"/>
        </w:rPr>
        <w:t>debit</w:t>
      </w:r>
      <w:r>
        <w:rPr>
          <w:sz w:val="23"/>
          <w:szCs w:val="23"/>
        </w:rPr>
        <w:t xml:space="preserve"> a credit </w:t>
      </w:r>
      <w:r w:rsidR="005874C9">
        <w:rPr>
          <w:sz w:val="23"/>
          <w:szCs w:val="23"/>
        </w:rPr>
        <w:t>union’s</w:t>
      </w:r>
      <w:r>
        <w:rPr>
          <w:sz w:val="23"/>
          <w:szCs w:val="23"/>
        </w:rPr>
        <w:t xml:space="preserve"> account through Pay.Gov.</w:t>
      </w:r>
    </w:p>
    <w:p w:rsidR="00FF70B4" w:rsidRDefault="00FF70B4" w:rsidP="00FF70B4">
      <w:pPr>
        <w:pStyle w:val="Default"/>
        <w:adjustRightInd/>
        <w:spacing w:after="38"/>
        <w:rPr>
          <w:sz w:val="23"/>
          <w:szCs w:val="23"/>
        </w:rPr>
      </w:pPr>
    </w:p>
    <w:p w:rsidR="006E356D" w:rsidRDefault="00FF70B4" w:rsidP="006E356D">
      <w:pPr>
        <w:pStyle w:val="Default"/>
        <w:numPr>
          <w:ilvl w:val="0"/>
          <w:numId w:val="17"/>
        </w:numPr>
        <w:adjustRightInd/>
        <w:spacing w:after="38"/>
        <w:rPr>
          <w:sz w:val="23"/>
          <w:szCs w:val="23"/>
        </w:rPr>
      </w:pPr>
      <w:r>
        <w:rPr>
          <w:sz w:val="23"/>
          <w:szCs w:val="23"/>
        </w:rPr>
        <w:t xml:space="preserve">While the date has not been set, NCUA is </w:t>
      </w:r>
      <w:r w:rsidR="005874C9">
        <w:rPr>
          <w:sz w:val="23"/>
          <w:szCs w:val="23"/>
        </w:rPr>
        <w:t>planning</w:t>
      </w:r>
      <w:r>
        <w:rPr>
          <w:sz w:val="23"/>
          <w:szCs w:val="23"/>
        </w:rPr>
        <w:t xml:space="preserve"> a </w:t>
      </w:r>
      <w:r w:rsidR="00E4053C">
        <w:rPr>
          <w:sz w:val="23"/>
          <w:szCs w:val="23"/>
        </w:rPr>
        <w:t xml:space="preserve">special Board </w:t>
      </w:r>
      <w:r>
        <w:rPr>
          <w:sz w:val="23"/>
          <w:szCs w:val="23"/>
        </w:rPr>
        <w:t xml:space="preserve">meeting in August to determine the amount of the regular assessment for 2011.  </w:t>
      </w:r>
      <w:r w:rsidR="00D57E3E">
        <w:rPr>
          <w:sz w:val="23"/>
          <w:szCs w:val="23"/>
        </w:rPr>
        <w:t xml:space="preserve"> </w:t>
      </w:r>
    </w:p>
    <w:p w:rsidR="0063472B" w:rsidRDefault="0063472B" w:rsidP="006E356D">
      <w:pPr>
        <w:pStyle w:val="Default"/>
        <w:numPr>
          <w:ilvl w:val="0"/>
          <w:numId w:val="17"/>
        </w:numPr>
        <w:adjustRightInd/>
        <w:spacing w:after="38"/>
        <w:rPr>
          <w:sz w:val="23"/>
          <w:szCs w:val="23"/>
        </w:rPr>
      </w:pPr>
      <w:r>
        <w:rPr>
          <w:sz w:val="23"/>
          <w:szCs w:val="23"/>
        </w:rPr>
        <w:t xml:space="preserve">NCUA may develop a similar prepaid assessment program for future years, depending on credit unions’ participation in this program, and if needed. </w:t>
      </w:r>
    </w:p>
    <w:p w:rsidR="006E356D" w:rsidRDefault="006E356D" w:rsidP="006E356D">
      <w:pPr>
        <w:pStyle w:val="Default"/>
        <w:adjustRightInd/>
        <w:spacing w:after="38"/>
        <w:rPr>
          <w:sz w:val="23"/>
          <w:szCs w:val="23"/>
        </w:rPr>
      </w:pPr>
    </w:p>
    <w:p w:rsidR="005874C9" w:rsidRDefault="006E356D" w:rsidP="006E356D">
      <w:pPr>
        <w:pStyle w:val="Default"/>
        <w:adjustRightInd/>
        <w:spacing w:after="38"/>
        <w:rPr>
          <w:sz w:val="23"/>
          <w:szCs w:val="23"/>
        </w:rPr>
      </w:pPr>
      <w:r>
        <w:rPr>
          <w:sz w:val="23"/>
          <w:szCs w:val="23"/>
        </w:rPr>
        <w:t xml:space="preserve">In response to a question raised by credit unions as to why they cannot </w:t>
      </w:r>
      <w:r w:rsidR="00626A7F">
        <w:rPr>
          <w:sz w:val="23"/>
          <w:szCs w:val="23"/>
        </w:rPr>
        <w:t xml:space="preserve">simply </w:t>
      </w:r>
      <w:r>
        <w:rPr>
          <w:sz w:val="23"/>
          <w:szCs w:val="23"/>
        </w:rPr>
        <w:t>pa</w:t>
      </w:r>
      <w:r w:rsidR="005874C9">
        <w:rPr>
          <w:sz w:val="23"/>
          <w:szCs w:val="23"/>
        </w:rPr>
        <w:t xml:space="preserve">y </w:t>
      </w:r>
      <w:r w:rsidR="00626A7F">
        <w:rPr>
          <w:sz w:val="23"/>
          <w:szCs w:val="23"/>
        </w:rPr>
        <w:t xml:space="preserve">all of </w:t>
      </w:r>
      <w:r w:rsidR="005874C9">
        <w:rPr>
          <w:sz w:val="23"/>
          <w:szCs w:val="23"/>
        </w:rPr>
        <w:t>their TCCUSF assessments now</w:t>
      </w:r>
      <w:r>
        <w:rPr>
          <w:sz w:val="23"/>
          <w:szCs w:val="23"/>
        </w:rPr>
        <w:t xml:space="preserve">, agency staff said </w:t>
      </w:r>
      <w:r w:rsidR="00626A7F">
        <w:rPr>
          <w:sz w:val="23"/>
          <w:szCs w:val="23"/>
        </w:rPr>
        <w:t>the ultimate costs of the TCCUSF are now know</w:t>
      </w:r>
      <w:r w:rsidR="008F3EC9">
        <w:rPr>
          <w:sz w:val="23"/>
          <w:szCs w:val="23"/>
        </w:rPr>
        <w:t>n</w:t>
      </w:r>
      <w:bookmarkStart w:id="0" w:name="_GoBack"/>
      <w:bookmarkEnd w:id="0"/>
      <w:r w:rsidR="00E4053C">
        <w:rPr>
          <w:sz w:val="23"/>
          <w:szCs w:val="23"/>
        </w:rPr>
        <w:t xml:space="preserve"> (although the total cost is estimated at approximately 99 basis points)</w:t>
      </w:r>
      <w:r w:rsidR="00626A7F">
        <w:rPr>
          <w:sz w:val="23"/>
          <w:szCs w:val="23"/>
        </w:rPr>
        <w:t xml:space="preserve">. Also, </w:t>
      </w:r>
      <w:r>
        <w:rPr>
          <w:sz w:val="23"/>
          <w:szCs w:val="23"/>
        </w:rPr>
        <w:t>the</w:t>
      </w:r>
      <w:r w:rsidR="005874C9">
        <w:rPr>
          <w:sz w:val="23"/>
          <w:szCs w:val="23"/>
        </w:rPr>
        <w:t>y</w:t>
      </w:r>
      <w:r>
        <w:rPr>
          <w:sz w:val="23"/>
          <w:szCs w:val="23"/>
        </w:rPr>
        <w:t xml:space="preserve"> were concerned about the imp</w:t>
      </w:r>
      <w:r w:rsidR="005874C9">
        <w:rPr>
          <w:sz w:val="23"/>
          <w:szCs w:val="23"/>
        </w:rPr>
        <w:t>a</w:t>
      </w:r>
      <w:r>
        <w:rPr>
          <w:sz w:val="23"/>
          <w:szCs w:val="23"/>
        </w:rPr>
        <w:t>ct o</w:t>
      </w:r>
      <w:r w:rsidR="005874C9">
        <w:rPr>
          <w:sz w:val="23"/>
          <w:szCs w:val="23"/>
        </w:rPr>
        <w:t>n</w:t>
      </w:r>
      <w:r>
        <w:rPr>
          <w:sz w:val="23"/>
          <w:szCs w:val="23"/>
        </w:rPr>
        <w:t xml:space="preserve"> </w:t>
      </w:r>
      <w:r w:rsidR="005874C9">
        <w:rPr>
          <w:sz w:val="23"/>
          <w:szCs w:val="23"/>
        </w:rPr>
        <w:t>individual</w:t>
      </w:r>
      <w:r>
        <w:rPr>
          <w:sz w:val="23"/>
          <w:szCs w:val="23"/>
        </w:rPr>
        <w:t xml:space="preserve"> </w:t>
      </w:r>
      <w:r w:rsidR="005874C9">
        <w:rPr>
          <w:sz w:val="23"/>
          <w:szCs w:val="23"/>
        </w:rPr>
        <w:t>institutions</w:t>
      </w:r>
      <w:r>
        <w:rPr>
          <w:sz w:val="23"/>
          <w:szCs w:val="23"/>
        </w:rPr>
        <w:t xml:space="preserve"> and wanted to </w:t>
      </w:r>
      <w:r w:rsidR="005874C9">
        <w:rPr>
          <w:sz w:val="23"/>
          <w:szCs w:val="23"/>
        </w:rPr>
        <w:t>structure</w:t>
      </w:r>
      <w:r>
        <w:rPr>
          <w:sz w:val="23"/>
          <w:szCs w:val="23"/>
        </w:rPr>
        <w:t xml:space="preserve"> assessments </w:t>
      </w:r>
      <w:r w:rsidR="00E4053C">
        <w:rPr>
          <w:sz w:val="23"/>
          <w:szCs w:val="23"/>
        </w:rPr>
        <w:t>so</w:t>
      </w:r>
      <w:r>
        <w:rPr>
          <w:sz w:val="23"/>
          <w:szCs w:val="23"/>
        </w:rPr>
        <w:t xml:space="preserve"> they would not have a material impact on credit unions’ balance sheets or on liquidity. </w:t>
      </w:r>
      <w:r w:rsidR="005874C9">
        <w:rPr>
          <w:sz w:val="23"/>
          <w:szCs w:val="23"/>
        </w:rPr>
        <w:t xml:space="preserve"> </w:t>
      </w:r>
    </w:p>
    <w:p w:rsidR="005874C9" w:rsidRDefault="005874C9" w:rsidP="006E356D">
      <w:pPr>
        <w:pStyle w:val="Default"/>
        <w:adjustRightInd/>
        <w:spacing w:after="38"/>
        <w:rPr>
          <w:sz w:val="23"/>
          <w:szCs w:val="23"/>
        </w:rPr>
      </w:pPr>
    </w:p>
    <w:p w:rsidR="005874C9" w:rsidRDefault="006E356D" w:rsidP="006E356D">
      <w:pPr>
        <w:pStyle w:val="Default"/>
        <w:adjustRightInd/>
        <w:spacing w:after="38"/>
        <w:rPr>
          <w:sz w:val="23"/>
          <w:szCs w:val="23"/>
        </w:rPr>
      </w:pPr>
      <w:r>
        <w:rPr>
          <w:sz w:val="23"/>
          <w:szCs w:val="23"/>
        </w:rPr>
        <w:t xml:space="preserve">According to the staff, the cost of the program to NCUA will be about $100,000 which includes </w:t>
      </w:r>
      <w:r w:rsidR="005874C9">
        <w:rPr>
          <w:sz w:val="23"/>
          <w:szCs w:val="23"/>
        </w:rPr>
        <w:t xml:space="preserve">agency </w:t>
      </w:r>
      <w:r>
        <w:rPr>
          <w:sz w:val="23"/>
          <w:szCs w:val="23"/>
        </w:rPr>
        <w:t>staff time.</w:t>
      </w:r>
    </w:p>
    <w:p w:rsidR="005874C9" w:rsidRDefault="005874C9" w:rsidP="006E356D">
      <w:pPr>
        <w:pStyle w:val="Default"/>
        <w:adjustRightInd/>
        <w:spacing w:after="38"/>
        <w:rPr>
          <w:sz w:val="23"/>
          <w:szCs w:val="23"/>
        </w:rPr>
      </w:pPr>
    </w:p>
    <w:p w:rsidR="005874C9" w:rsidRDefault="005874C9" w:rsidP="006E356D">
      <w:pPr>
        <w:pStyle w:val="Default"/>
        <w:adjustRightInd/>
        <w:spacing w:after="38"/>
        <w:rPr>
          <w:sz w:val="23"/>
          <w:szCs w:val="23"/>
        </w:rPr>
      </w:pPr>
      <w:r>
        <w:rPr>
          <w:sz w:val="23"/>
          <w:szCs w:val="23"/>
        </w:rPr>
        <w:t>Credit unions are encouraged to carefully consider the revised TCCUSF assessment prepayment plan.  As they would for any other program</w:t>
      </w:r>
      <w:r w:rsidR="006E356D">
        <w:rPr>
          <w:sz w:val="23"/>
          <w:szCs w:val="23"/>
        </w:rPr>
        <w:t xml:space="preserve"> </w:t>
      </w:r>
      <w:r>
        <w:rPr>
          <w:sz w:val="23"/>
          <w:szCs w:val="23"/>
        </w:rPr>
        <w:t xml:space="preserve">involving material credit union resources, credit unions should consider the impact of participation on their earnings, liquidity, and interest rate profile.  Credit unions are also strongly encouraged to talk with their accountants and auditors about the program. </w:t>
      </w:r>
      <w:r w:rsidR="006E356D">
        <w:rPr>
          <w:sz w:val="23"/>
          <w:szCs w:val="23"/>
        </w:rPr>
        <w:t xml:space="preserve"> </w:t>
      </w:r>
    </w:p>
    <w:p w:rsidR="005874C9" w:rsidRDefault="005874C9" w:rsidP="006E356D">
      <w:pPr>
        <w:pStyle w:val="Default"/>
        <w:adjustRightInd/>
        <w:spacing w:after="38"/>
        <w:rPr>
          <w:sz w:val="23"/>
          <w:szCs w:val="23"/>
        </w:rPr>
      </w:pPr>
    </w:p>
    <w:p w:rsidR="006E356D" w:rsidRPr="006E356D" w:rsidRDefault="005874C9" w:rsidP="006E356D">
      <w:pPr>
        <w:pStyle w:val="Default"/>
        <w:adjustRightInd/>
        <w:spacing w:after="38"/>
        <w:rPr>
          <w:sz w:val="23"/>
          <w:szCs w:val="23"/>
        </w:rPr>
      </w:pPr>
      <w:r>
        <w:rPr>
          <w:sz w:val="23"/>
          <w:szCs w:val="23"/>
        </w:rPr>
        <w:t xml:space="preserve">CUNA will be following up shortly to provide more detailed information to </w:t>
      </w:r>
      <w:r w:rsidR="00E4053C">
        <w:rPr>
          <w:sz w:val="23"/>
          <w:szCs w:val="23"/>
        </w:rPr>
        <w:t>L</w:t>
      </w:r>
      <w:r>
        <w:rPr>
          <w:sz w:val="23"/>
          <w:szCs w:val="23"/>
        </w:rPr>
        <w:t xml:space="preserve">eagues and credit unions on the program. </w:t>
      </w:r>
      <w:r w:rsidR="006E356D">
        <w:rPr>
          <w:sz w:val="23"/>
          <w:szCs w:val="23"/>
        </w:rPr>
        <w:t xml:space="preserve">  </w:t>
      </w:r>
    </w:p>
    <w:p w:rsidR="006E356D" w:rsidRPr="00915BC3" w:rsidRDefault="006E356D" w:rsidP="006E356D">
      <w:pPr>
        <w:pStyle w:val="Default"/>
        <w:adjustRightInd/>
        <w:spacing w:after="38"/>
        <w:rPr>
          <w:sz w:val="23"/>
          <w:szCs w:val="23"/>
        </w:rPr>
      </w:pPr>
    </w:p>
    <w:sectPr w:rsidR="006E356D" w:rsidRPr="00915BC3" w:rsidSect="000C3D49">
      <w:headerReference w:type="even" r:id="rId10"/>
      <w:headerReference w:type="default" r:id="rId11"/>
      <w:footerReference w:type="even" r:id="rId12"/>
      <w:footerReference w:type="default" r:id="rId13"/>
      <w:headerReference w:type="first" r:id="rId14"/>
      <w:footerReference w:type="first" r:id="rId15"/>
      <w:pgSz w:w="12240" w:h="15840"/>
      <w:pgMar w:top="1296" w:right="1728" w:bottom="1296"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6E4" w:rsidRDefault="008B06E4" w:rsidP="00FA772B">
      <w:r>
        <w:separator/>
      </w:r>
    </w:p>
  </w:endnote>
  <w:endnote w:type="continuationSeparator" w:id="0">
    <w:p w:rsidR="008B06E4" w:rsidRDefault="008B06E4" w:rsidP="00FA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86" w:rsidRDefault="00BC7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577770"/>
      <w:docPartObj>
        <w:docPartGallery w:val="Page Numbers (Bottom of Page)"/>
        <w:docPartUnique/>
      </w:docPartObj>
    </w:sdtPr>
    <w:sdtEndPr>
      <w:rPr>
        <w:rFonts w:ascii="Arial" w:hAnsi="Arial"/>
        <w:noProof/>
      </w:rPr>
    </w:sdtEndPr>
    <w:sdtContent>
      <w:p w:rsidR="000F1B26" w:rsidRPr="00FA772B" w:rsidRDefault="008B06E4">
        <w:pPr>
          <w:pStyle w:val="Footer"/>
          <w:jc w:val="right"/>
          <w:rPr>
            <w:rFonts w:ascii="Arial" w:hAnsi="Arial"/>
          </w:rPr>
        </w:pPr>
      </w:p>
    </w:sdtContent>
  </w:sdt>
  <w:p w:rsidR="000F1B26" w:rsidRDefault="000F1B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86" w:rsidRDefault="00BC7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6E4" w:rsidRDefault="008B06E4" w:rsidP="00FA772B">
      <w:r>
        <w:separator/>
      </w:r>
    </w:p>
  </w:footnote>
  <w:footnote w:type="continuationSeparator" w:id="0">
    <w:p w:rsidR="008B06E4" w:rsidRDefault="008B06E4" w:rsidP="00FA7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86" w:rsidRDefault="00BC76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86" w:rsidRDefault="00BC76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86" w:rsidRDefault="00BC76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A13"/>
    <w:multiLevelType w:val="hybridMultilevel"/>
    <w:tmpl w:val="C42E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165CA"/>
    <w:multiLevelType w:val="hybridMultilevel"/>
    <w:tmpl w:val="33C687D0"/>
    <w:lvl w:ilvl="0" w:tplc="21122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D61571"/>
    <w:multiLevelType w:val="hybridMultilevel"/>
    <w:tmpl w:val="80E2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5B00D5"/>
    <w:multiLevelType w:val="hybridMultilevel"/>
    <w:tmpl w:val="4C64E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16F5294"/>
    <w:multiLevelType w:val="hybridMultilevel"/>
    <w:tmpl w:val="1A70B0FE"/>
    <w:lvl w:ilvl="0" w:tplc="CDACC340">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E2D95"/>
    <w:multiLevelType w:val="hybridMultilevel"/>
    <w:tmpl w:val="3B30F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7FE6E1F"/>
    <w:multiLevelType w:val="hybridMultilevel"/>
    <w:tmpl w:val="F174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C68C1"/>
    <w:multiLevelType w:val="hybridMultilevel"/>
    <w:tmpl w:val="4DBCBC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5019D6"/>
    <w:multiLevelType w:val="hybridMultilevel"/>
    <w:tmpl w:val="CF22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B8010D"/>
    <w:multiLevelType w:val="hybridMultilevel"/>
    <w:tmpl w:val="FC30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3838B6"/>
    <w:multiLevelType w:val="hybridMultilevel"/>
    <w:tmpl w:val="576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DD4587"/>
    <w:multiLevelType w:val="hybridMultilevel"/>
    <w:tmpl w:val="8042C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F21EF"/>
    <w:multiLevelType w:val="hybridMultilevel"/>
    <w:tmpl w:val="21C61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FCA3BD3"/>
    <w:multiLevelType w:val="hybridMultilevel"/>
    <w:tmpl w:val="ABBE31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D9513D"/>
    <w:multiLevelType w:val="hybridMultilevel"/>
    <w:tmpl w:val="DD14D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5B83AD7"/>
    <w:multiLevelType w:val="hybridMultilevel"/>
    <w:tmpl w:val="F798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E0CD8"/>
    <w:multiLevelType w:val="hybridMultilevel"/>
    <w:tmpl w:val="D8F6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AC7AC3"/>
    <w:multiLevelType w:val="hybridMultilevel"/>
    <w:tmpl w:val="DCAC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780785"/>
    <w:multiLevelType w:val="hybridMultilevel"/>
    <w:tmpl w:val="735C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5"/>
  </w:num>
  <w:num w:numId="4">
    <w:abstractNumId w:val="14"/>
  </w:num>
  <w:num w:numId="5">
    <w:abstractNumId w:val="2"/>
  </w:num>
  <w:num w:numId="6">
    <w:abstractNumId w:val="12"/>
  </w:num>
  <w:num w:numId="7">
    <w:abstractNumId w:val="10"/>
  </w:num>
  <w:num w:numId="8">
    <w:abstractNumId w:val="0"/>
  </w:num>
  <w:num w:numId="9">
    <w:abstractNumId w:val="18"/>
  </w:num>
  <w:num w:numId="10">
    <w:abstractNumId w:val="17"/>
  </w:num>
  <w:num w:numId="11">
    <w:abstractNumId w:val="9"/>
  </w:num>
  <w:num w:numId="12">
    <w:abstractNumId w:val="1"/>
  </w:num>
  <w:num w:numId="13">
    <w:abstractNumId w:val="13"/>
  </w:num>
  <w:num w:numId="14">
    <w:abstractNumId w:val="4"/>
  </w:num>
  <w:num w:numId="15">
    <w:abstractNumId w:val="3"/>
  </w:num>
  <w:num w:numId="16">
    <w:abstractNumId w:val="11"/>
  </w:num>
  <w:num w:numId="17">
    <w:abstractNumId w:val="8"/>
  </w:num>
  <w:num w:numId="18">
    <w:abstractNumId w:val="6"/>
  </w:num>
  <w:num w:numId="1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FE3"/>
    <w:rsid w:val="000074FB"/>
    <w:rsid w:val="00010BE2"/>
    <w:rsid w:val="000111E7"/>
    <w:rsid w:val="00012292"/>
    <w:rsid w:val="00015FFE"/>
    <w:rsid w:val="00016A2F"/>
    <w:rsid w:val="00017B2B"/>
    <w:rsid w:val="00024B37"/>
    <w:rsid w:val="00025920"/>
    <w:rsid w:val="00027691"/>
    <w:rsid w:val="00034D3B"/>
    <w:rsid w:val="00034DFF"/>
    <w:rsid w:val="00034EBA"/>
    <w:rsid w:val="000377E2"/>
    <w:rsid w:val="00037D6A"/>
    <w:rsid w:val="0004078A"/>
    <w:rsid w:val="00042332"/>
    <w:rsid w:val="00043242"/>
    <w:rsid w:val="000438EA"/>
    <w:rsid w:val="0004781A"/>
    <w:rsid w:val="00050129"/>
    <w:rsid w:val="0005139E"/>
    <w:rsid w:val="000522C9"/>
    <w:rsid w:val="00052A13"/>
    <w:rsid w:val="00052C1A"/>
    <w:rsid w:val="000534B7"/>
    <w:rsid w:val="000543AC"/>
    <w:rsid w:val="00055572"/>
    <w:rsid w:val="00055A97"/>
    <w:rsid w:val="000646F8"/>
    <w:rsid w:val="00064BE3"/>
    <w:rsid w:val="00065240"/>
    <w:rsid w:val="000712C3"/>
    <w:rsid w:val="0007170F"/>
    <w:rsid w:val="00071DAD"/>
    <w:rsid w:val="00082AAB"/>
    <w:rsid w:val="00082D0B"/>
    <w:rsid w:val="00085DF1"/>
    <w:rsid w:val="0008698C"/>
    <w:rsid w:val="00086B97"/>
    <w:rsid w:val="00086E4B"/>
    <w:rsid w:val="00090987"/>
    <w:rsid w:val="00093507"/>
    <w:rsid w:val="00097435"/>
    <w:rsid w:val="000A006A"/>
    <w:rsid w:val="000A0ADF"/>
    <w:rsid w:val="000A1807"/>
    <w:rsid w:val="000A3477"/>
    <w:rsid w:val="000A52C0"/>
    <w:rsid w:val="000A65B0"/>
    <w:rsid w:val="000A6715"/>
    <w:rsid w:val="000A69EB"/>
    <w:rsid w:val="000B07F6"/>
    <w:rsid w:val="000B3299"/>
    <w:rsid w:val="000B4E4C"/>
    <w:rsid w:val="000B73EE"/>
    <w:rsid w:val="000C099E"/>
    <w:rsid w:val="000C0BD0"/>
    <w:rsid w:val="000C32BD"/>
    <w:rsid w:val="000C3A5D"/>
    <w:rsid w:val="000C3D49"/>
    <w:rsid w:val="000C6468"/>
    <w:rsid w:val="000C67A7"/>
    <w:rsid w:val="000C73BB"/>
    <w:rsid w:val="000D231F"/>
    <w:rsid w:val="000E177B"/>
    <w:rsid w:val="000E1D0F"/>
    <w:rsid w:val="000E4C38"/>
    <w:rsid w:val="000E5586"/>
    <w:rsid w:val="000F065F"/>
    <w:rsid w:val="000F117C"/>
    <w:rsid w:val="000F139E"/>
    <w:rsid w:val="000F1881"/>
    <w:rsid w:val="000F1B26"/>
    <w:rsid w:val="000F4C1E"/>
    <w:rsid w:val="001013A1"/>
    <w:rsid w:val="001013AD"/>
    <w:rsid w:val="001013BD"/>
    <w:rsid w:val="001026FA"/>
    <w:rsid w:val="0010554B"/>
    <w:rsid w:val="00106752"/>
    <w:rsid w:val="001071D5"/>
    <w:rsid w:val="0010795F"/>
    <w:rsid w:val="00110393"/>
    <w:rsid w:val="0011347C"/>
    <w:rsid w:val="00113C46"/>
    <w:rsid w:val="001147E2"/>
    <w:rsid w:val="00116535"/>
    <w:rsid w:val="00116ADF"/>
    <w:rsid w:val="00116AF0"/>
    <w:rsid w:val="0012064A"/>
    <w:rsid w:val="00121A1F"/>
    <w:rsid w:val="001251F8"/>
    <w:rsid w:val="00126915"/>
    <w:rsid w:val="00133D6F"/>
    <w:rsid w:val="0013404F"/>
    <w:rsid w:val="00134B1E"/>
    <w:rsid w:val="0013575B"/>
    <w:rsid w:val="0013766B"/>
    <w:rsid w:val="001420E2"/>
    <w:rsid w:val="00145A8C"/>
    <w:rsid w:val="00145E79"/>
    <w:rsid w:val="0015250F"/>
    <w:rsid w:val="00167156"/>
    <w:rsid w:val="001723EC"/>
    <w:rsid w:val="001761C1"/>
    <w:rsid w:val="001831B7"/>
    <w:rsid w:val="00183364"/>
    <w:rsid w:val="0018385C"/>
    <w:rsid w:val="00184E86"/>
    <w:rsid w:val="00190CA0"/>
    <w:rsid w:val="00191A58"/>
    <w:rsid w:val="001951C8"/>
    <w:rsid w:val="001A022F"/>
    <w:rsid w:val="001A03EF"/>
    <w:rsid w:val="001A0A19"/>
    <w:rsid w:val="001A0EBE"/>
    <w:rsid w:val="001A1864"/>
    <w:rsid w:val="001A4760"/>
    <w:rsid w:val="001A4E0C"/>
    <w:rsid w:val="001B06CA"/>
    <w:rsid w:val="001B1BE7"/>
    <w:rsid w:val="001B1DF4"/>
    <w:rsid w:val="001B3A00"/>
    <w:rsid w:val="001B549B"/>
    <w:rsid w:val="001B5854"/>
    <w:rsid w:val="001B6BEF"/>
    <w:rsid w:val="001B7C4B"/>
    <w:rsid w:val="001C15A6"/>
    <w:rsid w:val="001C2815"/>
    <w:rsid w:val="001C3783"/>
    <w:rsid w:val="001C4E8C"/>
    <w:rsid w:val="001C5D69"/>
    <w:rsid w:val="001C784A"/>
    <w:rsid w:val="001D0CF8"/>
    <w:rsid w:val="001D1892"/>
    <w:rsid w:val="001D2E39"/>
    <w:rsid w:val="001D2FCE"/>
    <w:rsid w:val="001D6097"/>
    <w:rsid w:val="001D7455"/>
    <w:rsid w:val="001E2049"/>
    <w:rsid w:val="001E5994"/>
    <w:rsid w:val="001E7A7D"/>
    <w:rsid w:val="001F031E"/>
    <w:rsid w:val="001F075E"/>
    <w:rsid w:val="001F1B98"/>
    <w:rsid w:val="001F2D5C"/>
    <w:rsid w:val="001F4DE2"/>
    <w:rsid w:val="001F7F8E"/>
    <w:rsid w:val="0020287A"/>
    <w:rsid w:val="002033B8"/>
    <w:rsid w:val="00204E5C"/>
    <w:rsid w:val="00206B34"/>
    <w:rsid w:val="00207933"/>
    <w:rsid w:val="00212D6F"/>
    <w:rsid w:val="00212E12"/>
    <w:rsid w:val="00213081"/>
    <w:rsid w:val="00214C11"/>
    <w:rsid w:val="002169FD"/>
    <w:rsid w:val="0022251F"/>
    <w:rsid w:val="0022355A"/>
    <w:rsid w:val="0022474D"/>
    <w:rsid w:val="00224C20"/>
    <w:rsid w:val="00226339"/>
    <w:rsid w:val="002263FB"/>
    <w:rsid w:val="002306B8"/>
    <w:rsid w:val="00231743"/>
    <w:rsid w:val="002319FE"/>
    <w:rsid w:val="00232DF1"/>
    <w:rsid w:val="00234FCE"/>
    <w:rsid w:val="00236C9F"/>
    <w:rsid w:val="00236D84"/>
    <w:rsid w:val="00241BD7"/>
    <w:rsid w:val="0024295C"/>
    <w:rsid w:val="0024356F"/>
    <w:rsid w:val="00244853"/>
    <w:rsid w:val="00245EF3"/>
    <w:rsid w:val="002466D8"/>
    <w:rsid w:val="002468B2"/>
    <w:rsid w:val="00255A82"/>
    <w:rsid w:val="0025712D"/>
    <w:rsid w:val="0026097B"/>
    <w:rsid w:val="00261C2D"/>
    <w:rsid w:val="00261DDB"/>
    <w:rsid w:val="00263E8E"/>
    <w:rsid w:val="00265203"/>
    <w:rsid w:val="0026633E"/>
    <w:rsid w:val="00270C38"/>
    <w:rsid w:val="00270F3E"/>
    <w:rsid w:val="002714D2"/>
    <w:rsid w:val="00271EB5"/>
    <w:rsid w:val="002731CF"/>
    <w:rsid w:val="00277248"/>
    <w:rsid w:val="00280EF8"/>
    <w:rsid w:val="002830F5"/>
    <w:rsid w:val="00285332"/>
    <w:rsid w:val="00290057"/>
    <w:rsid w:val="00290163"/>
    <w:rsid w:val="002903D1"/>
    <w:rsid w:val="00290CEE"/>
    <w:rsid w:val="00293C57"/>
    <w:rsid w:val="00293D46"/>
    <w:rsid w:val="00294A13"/>
    <w:rsid w:val="002A04EA"/>
    <w:rsid w:val="002A18DD"/>
    <w:rsid w:val="002A2580"/>
    <w:rsid w:val="002A430F"/>
    <w:rsid w:val="002A512D"/>
    <w:rsid w:val="002B10A9"/>
    <w:rsid w:val="002B1A6D"/>
    <w:rsid w:val="002B2B86"/>
    <w:rsid w:val="002B62F6"/>
    <w:rsid w:val="002C0C20"/>
    <w:rsid w:val="002C1C9D"/>
    <w:rsid w:val="002C2052"/>
    <w:rsid w:val="002C4C5F"/>
    <w:rsid w:val="002D09A3"/>
    <w:rsid w:val="002D1B70"/>
    <w:rsid w:val="002D430C"/>
    <w:rsid w:val="002D48DF"/>
    <w:rsid w:val="002D4E27"/>
    <w:rsid w:val="002D6D1C"/>
    <w:rsid w:val="002E1C13"/>
    <w:rsid w:val="002E6E92"/>
    <w:rsid w:val="002F07D0"/>
    <w:rsid w:val="002F3C51"/>
    <w:rsid w:val="002F5121"/>
    <w:rsid w:val="00300476"/>
    <w:rsid w:val="00305CF3"/>
    <w:rsid w:val="00307E11"/>
    <w:rsid w:val="00310915"/>
    <w:rsid w:val="00312178"/>
    <w:rsid w:val="00312EF7"/>
    <w:rsid w:val="00313944"/>
    <w:rsid w:val="00315302"/>
    <w:rsid w:val="00316509"/>
    <w:rsid w:val="00321896"/>
    <w:rsid w:val="0032266B"/>
    <w:rsid w:val="00324344"/>
    <w:rsid w:val="00326364"/>
    <w:rsid w:val="00326E59"/>
    <w:rsid w:val="0033008F"/>
    <w:rsid w:val="00330ACD"/>
    <w:rsid w:val="00330C7E"/>
    <w:rsid w:val="003371D9"/>
    <w:rsid w:val="0034531B"/>
    <w:rsid w:val="00352834"/>
    <w:rsid w:val="00356EE8"/>
    <w:rsid w:val="00360905"/>
    <w:rsid w:val="003612E2"/>
    <w:rsid w:val="003637FE"/>
    <w:rsid w:val="00365063"/>
    <w:rsid w:val="003653C0"/>
    <w:rsid w:val="003671D4"/>
    <w:rsid w:val="003700A2"/>
    <w:rsid w:val="00370121"/>
    <w:rsid w:val="003717D9"/>
    <w:rsid w:val="003718D7"/>
    <w:rsid w:val="00383F93"/>
    <w:rsid w:val="0038605B"/>
    <w:rsid w:val="0038662E"/>
    <w:rsid w:val="00387532"/>
    <w:rsid w:val="00387D4D"/>
    <w:rsid w:val="00390B0C"/>
    <w:rsid w:val="00391C23"/>
    <w:rsid w:val="003931D3"/>
    <w:rsid w:val="00397636"/>
    <w:rsid w:val="00397E57"/>
    <w:rsid w:val="003A55E5"/>
    <w:rsid w:val="003B3845"/>
    <w:rsid w:val="003B452F"/>
    <w:rsid w:val="003B6A34"/>
    <w:rsid w:val="003D2BDB"/>
    <w:rsid w:val="003D67FD"/>
    <w:rsid w:val="003D6E97"/>
    <w:rsid w:val="003E1F32"/>
    <w:rsid w:val="003E2104"/>
    <w:rsid w:val="003E293D"/>
    <w:rsid w:val="003E63D6"/>
    <w:rsid w:val="003E6C6A"/>
    <w:rsid w:val="003F2174"/>
    <w:rsid w:val="003F7D6C"/>
    <w:rsid w:val="004001C0"/>
    <w:rsid w:val="00400878"/>
    <w:rsid w:val="004021FC"/>
    <w:rsid w:val="00402A97"/>
    <w:rsid w:val="00404627"/>
    <w:rsid w:val="00406490"/>
    <w:rsid w:val="004121E1"/>
    <w:rsid w:val="004142F1"/>
    <w:rsid w:val="004147B0"/>
    <w:rsid w:val="00415A5C"/>
    <w:rsid w:val="00415DDA"/>
    <w:rsid w:val="00417750"/>
    <w:rsid w:val="004210A5"/>
    <w:rsid w:val="004229DC"/>
    <w:rsid w:val="00425EC7"/>
    <w:rsid w:val="00430FB2"/>
    <w:rsid w:val="004351FA"/>
    <w:rsid w:val="0043620C"/>
    <w:rsid w:val="0043726C"/>
    <w:rsid w:val="004373A5"/>
    <w:rsid w:val="00437AC4"/>
    <w:rsid w:val="00441CF9"/>
    <w:rsid w:val="00442C39"/>
    <w:rsid w:val="00444571"/>
    <w:rsid w:val="00447336"/>
    <w:rsid w:val="0045060B"/>
    <w:rsid w:val="004506FB"/>
    <w:rsid w:val="00454CB5"/>
    <w:rsid w:val="004600B1"/>
    <w:rsid w:val="004678F1"/>
    <w:rsid w:val="004704DE"/>
    <w:rsid w:val="00473B97"/>
    <w:rsid w:val="00473D8F"/>
    <w:rsid w:val="004741C4"/>
    <w:rsid w:val="00474C6A"/>
    <w:rsid w:val="0047563C"/>
    <w:rsid w:val="00475F3B"/>
    <w:rsid w:val="00477466"/>
    <w:rsid w:val="00477A28"/>
    <w:rsid w:val="00480C0E"/>
    <w:rsid w:val="00480EA6"/>
    <w:rsid w:val="0048236D"/>
    <w:rsid w:val="004838DC"/>
    <w:rsid w:val="004845C8"/>
    <w:rsid w:val="00484FB0"/>
    <w:rsid w:val="00486383"/>
    <w:rsid w:val="004907E7"/>
    <w:rsid w:val="00492AF2"/>
    <w:rsid w:val="00492C9A"/>
    <w:rsid w:val="00492F8B"/>
    <w:rsid w:val="004932C6"/>
    <w:rsid w:val="004936DB"/>
    <w:rsid w:val="00494831"/>
    <w:rsid w:val="004964E6"/>
    <w:rsid w:val="0049667E"/>
    <w:rsid w:val="00497AE8"/>
    <w:rsid w:val="004A04F1"/>
    <w:rsid w:val="004A0D9A"/>
    <w:rsid w:val="004A37BE"/>
    <w:rsid w:val="004A41A3"/>
    <w:rsid w:val="004A42D9"/>
    <w:rsid w:val="004A4ACA"/>
    <w:rsid w:val="004A4E24"/>
    <w:rsid w:val="004A5018"/>
    <w:rsid w:val="004A569C"/>
    <w:rsid w:val="004A7741"/>
    <w:rsid w:val="004B062F"/>
    <w:rsid w:val="004B11AC"/>
    <w:rsid w:val="004B140A"/>
    <w:rsid w:val="004B1E84"/>
    <w:rsid w:val="004B2460"/>
    <w:rsid w:val="004B449D"/>
    <w:rsid w:val="004B5796"/>
    <w:rsid w:val="004C14DF"/>
    <w:rsid w:val="004C7417"/>
    <w:rsid w:val="004D21E5"/>
    <w:rsid w:val="004D258C"/>
    <w:rsid w:val="004D3876"/>
    <w:rsid w:val="004D5A6D"/>
    <w:rsid w:val="004D7ABE"/>
    <w:rsid w:val="004D7B15"/>
    <w:rsid w:val="004E1A87"/>
    <w:rsid w:val="004E1CF3"/>
    <w:rsid w:val="004E2EB5"/>
    <w:rsid w:val="004E52FF"/>
    <w:rsid w:val="004F08E7"/>
    <w:rsid w:val="004F11A9"/>
    <w:rsid w:val="004F1BCA"/>
    <w:rsid w:val="004F514C"/>
    <w:rsid w:val="004F5328"/>
    <w:rsid w:val="004F5C71"/>
    <w:rsid w:val="004F6707"/>
    <w:rsid w:val="004F6CD5"/>
    <w:rsid w:val="005054B2"/>
    <w:rsid w:val="0051278D"/>
    <w:rsid w:val="00513772"/>
    <w:rsid w:val="00514840"/>
    <w:rsid w:val="00514D62"/>
    <w:rsid w:val="00516C65"/>
    <w:rsid w:val="005178E8"/>
    <w:rsid w:val="00522088"/>
    <w:rsid w:val="00525C41"/>
    <w:rsid w:val="00526E49"/>
    <w:rsid w:val="00527D79"/>
    <w:rsid w:val="00530999"/>
    <w:rsid w:val="00534377"/>
    <w:rsid w:val="0053443D"/>
    <w:rsid w:val="00536816"/>
    <w:rsid w:val="00537E54"/>
    <w:rsid w:val="0054416E"/>
    <w:rsid w:val="005443BB"/>
    <w:rsid w:val="00545180"/>
    <w:rsid w:val="00545C28"/>
    <w:rsid w:val="00547278"/>
    <w:rsid w:val="00550284"/>
    <w:rsid w:val="00550608"/>
    <w:rsid w:val="00553ED7"/>
    <w:rsid w:val="00556336"/>
    <w:rsid w:val="00560FF8"/>
    <w:rsid w:val="0056570D"/>
    <w:rsid w:val="00565F40"/>
    <w:rsid w:val="00570729"/>
    <w:rsid w:val="00572F32"/>
    <w:rsid w:val="00574B34"/>
    <w:rsid w:val="00576DDE"/>
    <w:rsid w:val="00577DBB"/>
    <w:rsid w:val="00581937"/>
    <w:rsid w:val="005874C9"/>
    <w:rsid w:val="00590228"/>
    <w:rsid w:val="00591000"/>
    <w:rsid w:val="00591A33"/>
    <w:rsid w:val="00593702"/>
    <w:rsid w:val="00594087"/>
    <w:rsid w:val="005949F4"/>
    <w:rsid w:val="005955B4"/>
    <w:rsid w:val="005A05C5"/>
    <w:rsid w:val="005A5FCD"/>
    <w:rsid w:val="005B3731"/>
    <w:rsid w:val="005B3AAF"/>
    <w:rsid w:val="005B4011"/>
    <w:rsid w:val="005C12C8"/>
    <w:rsid w:val="005C502C"/>
    <w:rsid w:val="005C52E0"/>
    <w:rsid w:val="005C57B7"/>
    <w:rsid w:val="005C5907"/>
    <w:rsid w:val="005C7638"/>
    <w:rsid w:val="005D44CF"/>
    <w:rsid w:val="005D4E00"/>
    <w:rsid w:val="005D4EFE"/>
    <w:rsid w:val="005D5C03"/>
    <w:rsid w:val="005D6AE1"/>
    <w:rsid w:val="005D6AF7"/>
    <w:rsid w:val="005D6BA4"/>
    <w:rsid w:val="005E181C"/>
    <w:rsid w:val="005E2E6E"/>
    <w:rsid w:val="005E3646"/>
    <w:rsid w:val="005E56FB"/>
    <w:rsid w:val="005E5C48"/>
    <w:rsid w:val="005E616E"/>
    <w:rsid w:val="005E68C9"/>
    <w:rsid w:val="005F2A32"/>
    <w:rsid w:val="005F38C9"/>
    <w:rsid w:val="005F4060"/>
    <w:rsid w:val="005F578A"/>
    <w:rsid w:val="0060155C"/>
    <w:rsid w:val="00603CE9"/>
    <w:rsid w:val="006204F3"/>
    <w:rsid w:val="00620F13"/>
    <w:rsid w:val="0062420C"/>
    <w:rsid w:val="00626A7F"/>
    <w:rsid w:val="006277E8"/>
    <w:rsid w:val="006335BD"/>
    <w:rsid w:val="0063361C"/>
    <w:rsid w:val="0063472B"/>
    <w:rsid w:val="00636A82"/>
    <w:rsid w:val="00637DE9"/>
    <w:rsid w:val="00640AB8"/>
    <w:rsid w:val="00641525"/>
    <w:rsid w:val="00643139"/>
    <w:rsid w:val="00643DCB"/>
    <w:rsid w:val="00644695"/>
    <w:rsid w:val="00644776"/>
    <w:rsid w:val="006450E3"/>
    <w:rsid w:val="00647FEF"/>
    <w:rsid w:val="00651EFB"/>
    <w:rsid w:val="00652C37"/>
    <w:rsid w:val="00653B26"/>
    <w:rsid w:val="0065548F"/>
    <w:rsid w:val="00655BF7"/>
    <w:rsid w:val="00656157"/>
    <w:rsid w:val="00656D6B"/>
    <w:rsid w:val="006571C3"/>
    <w:rsid w:val="00663115"/>
    <w:rsid w:val="00663F12"/>
    <w:rsid w:val="006642B8"/>
    <w:rsid w:val="0066439A"/>
    <w:rsid w:val="00667D74"/>
    <w:rsid w:val="00670E3F"/>
    <w:rsid w:val="00670FA4"/>
    <w:rsid w:val="0067629C"/>
    <w:rsid w:val="006777A5"/>
    <w:rsid w:val="00677860"/>
    <w:rsid w:val="0068012E"/>
    <w:rsid w:val="00682A12"/>
    <w:rsid w:val="00685232"/>
    <w:rsid w:val="00687C99"/>
    <w:rsid w:val="00690808"/>
    <w:rsid w:val="00691305"/>
    <w:rsid w:val="00692C24"/>
    <w:rsid w:val="00693506"/>
    <w:rsid w:val="00694314"/>
    <w:rsid w:val="00695A97"/>
    <w:rsid w:val="00695E68"/>
    <w:rsid w:val="006A2A8D"/>
    <w:rsid w:val="006A2F7C"/>
    <w:rsid w:val="006A41AE"/>
    <w:rsid w:val="006A5B22"/>
    <w:rsid w:val="006A60A8"/>
    <w:rsid w:val="006B228D"/>
    <w:rsid w:val="006B2820"/>
    <w:rsid w:val="006B5B63"/>
    <w:rsid w:val="006C081D"/>
    <w:rsid w:val="006C083F"/>
    <w:rsid w:val="006C1B99"/>
    <w:rsid w:val="006C2184"/>
    <w:rsid w:val="006C307C"/>
    <w:rsid w:val="006C3AC8"/>
    <w:rsid w:val="006D0950"/>
    <w:rsid w:val="006D2C10"/>
    <w:rsid w:val="006D41A3"/>
    <w:rsid w:val="006D4C0D"/>
    <w:rsid w:val="006D5AE0"/>
    <w:rsid w:val="006E356D"/>
    <w:rsid w:val="006E59D8"/>
    <w:rsid w:val="006F2EB7"/>
    <w:rsid w:val="006F744D"/>
    <w:rsid w:val="0070377B"/>
    <w:rsid w:val="00704AA8"/>
    <w:rsid w:val="00704D33"/>
    <w:rsid w:val="00706652"/>
    <w:rsid w:val="007102B4"/>
    <w:rsid w:val="0071105B"/>
    <w:rsid w:val="00712372"/>
    <w:rsid w:val="007123D4"/>
    <w:rsid w:val="00712C71"/>
    <w:rsid w:val="007130C2"/>
    <w:rsid w:val="007140FA"/>
    <w:rsid w:val="007173BB"/>
    <w:rsid w:val="00721016"/>
    <w:rsid w:val="00726397"/>
    <w:rsid w:val="007275E1"/>
    <w:rsid w:val="007303CA"/>
    <w:rsid w:val="00730769"/>
    <w:rsid w:val="00731B1E"/>
    <w:rsid w:val="00736D94"/>
    <w:rsid w:val="00736FBE"/>
    <w:rsid w:val="00741670"/>
    <w:rsid w:val="00743A02"/>
    <w:rsid w:val="00751BE2"/>
    <w:rsid w:val="00752805"/>
    <w:rsid w:val="007529F2"/>
    <w:rsid w:val="00754FB4"/>
    <w:rsid w:val="00755C3A"/>
    <w:rsid w:val="00760C65"/>
    <w:rsid w:val="00761ADC"/>
    <w:rsid w:val="00761E5E"/>
    <w:rsid w:val="00762DAB"/>
    <w:rsid w:val="00762E17"/>
    <w:rsid w:val="007661CD"/>
    <w:rsid w:val="007668C4"/>
    <w:rsid w:val="00770B32"/>
    <w:rsid w:val="007739D5"/>
    <w:rsid w:val="00776161"/>
    <w:rsid w:val="00776621"/>
    <w:rsid w:val="00776A83"/>
    <w:rsid w:val="007847D9"/>
    <w:rsid w:val="00787798"/>
    <w:rsid w:val="00787CD8"/>
    <w:rsid w:val="00790F08"/>
    <w:rsid w:val="0079276B"/>
    <w:rsid w:val="00794664"/>
    <w:rsid w:val="007966D4"/>
    <w:rsid w:val="007A03C6"/>
    <w:rsid w:val="007A0596"/>
    <w:rsid w:val="007A08C1"/>
    <w:rsid w:val="007A1386"/>
    <w:rsid w:val="007A1430"/>
    <w:rsid w:val="007A380C"/>
    <w:rsid w:val="007A4AF3"/>
    <w:rsid w:val="007B3C6A"/>
    <w:rsid w:val="007B4799"/>
    <w:rsid w:val="007B49F8"/>
    <w:rsid w:val="007B7406"/>
    <w:rsid w:val="007B7D0C"/>
    <w:rsid w:val="007C2A07"/>
    <w:rsid w:val="007D0B8B"/>
    <w:rsid w:val="007D1E49"/>
    <w:rsid w:val="007D6906"/>
    <w:rsid w:val="007E2647"/>
    <w:rsid w:val="007E3C9F"/>
    <w:rsid w:val="007F052B"/>
    <w:rsid w:val="007F1D3C"/>
    <w:rsid w:val="007F367A"/>
    <w:rsid w:val="007F3E7A"/>
    <w:rsid w:val="007F3F35"/>
    <w:rsid w:val="007F6F32"/>
    <w:rsid w:val="00801813"/>
    <w:rsid w:val="00806E1F"/>
    <w:rsid w:val="00811232"/>
    <w:rsid w:val="00813344"/>
    <w:rsid w:val="0081715B"/>
    <w:rsid w:val="00827E97"/>
    <w:rsid w:val="0083026E"/>
    <w:rsid w:val="00832009"/>
    <w:rsid w:val="00832F93"/>
    <w:rsid w:val="0083357B"/>
    <w:rsid w:val="008345E0"/>
    <w:rsid w:val="008369BC"/>
    <w:rsid w:val="0083710A"/>
    <w:rsid w:val="00840B04"/>
    <w:rsid w:val="00840DC7"/>
    <w:rsid w:val="008415C9"/>
    <w:rsid w:val="00842490"/>
    <w:rsid w:val="00842D65"/>
    <w:rsid w:val="00843002"/>
    <w:rsid w:val="00844852"/>
    <w:rsid w:val="00851CB2"/>
    <w:rsid w:val="00853371"/>
    <w:rsid w:val="00854DAC"/>
    <w:rsid w:val="00857C3E"/>
    <w:rsid w:val="00870B1A"/>
    <w:rsid w:val="00870DF7"/>
    <w:rsid w:val="0087123A"/>
    <w:rsid w:val="00872635"/>
    <w:rsid w:val="008726D6"/>
    <w:rsid w:val="00874009"/>
    <w:rsid w:val="008752B5"/>
    <w:rsid w:val="00880048"/>
    <w:rsid w:val="0088025F"/>
    <w:rsid w:val="00880E09"/>
    <w:rsid w:val="008823C7"/>
    <w:rsid w:val="00883724"/>
    <w:rsid w:val="00884D9E"/>
    <w:rsid w:val="0088553B"/>
    <w:rsid w:val="00893C6E"/>
    <w:rsid w:val="00897076"/>
    <w:rsid w:val="008A4D8C"/>
    <w:rsid w:val="008A5FFC"/>
    <w:rsid w:val="008A6E28"/>
    <w:rsid w:val="008A7D1B"/>
    <w:rsid w:val="008B0309"/>
    <w:rsid w:val="008B06E4"/>
    <w:rsid w:val="008B0FE3"/>
    <w:rsid w:val="008B4558"/>
    <w:rsid w:val="008B5FB4"/>
    <w:rsid w:val="008B67B7"/>
    <w:rsid w:val="008B71D5"/>
    <w:rsid w:val="008C0485"/>
    <w:rsid w:val="008C1998"/>
    <w:rsid w:val="008C3670"/>
    <w:rsid w:val="008C415E"/>
    <w:rsid w:val="008C5523"/>
    <w:rsid w:val="008C64B6"/>
    <w:rsid w:val="008D0349"/>
    <w:rsid w:val="008D2366"/>
    <w:rsid w:val="008D2D70"/>
    <w:rsid w:val="008D31A1"/>
    <w:rsid w:val="008D3691"/>
    <w:rsid w:val="008E1868"/>
    <w:rsid w:val="008E69B1"/>
    <w:rsid w:val="008F10E0"/>
    <w:rsid w:val="008F1CA8"/>
    <w:rsid w:val="008F2429"/>
    <w:rsid w:val="008F262F"/>
    <w:rsid w:val="008F3EC9"/>
    <w:rsid w:val="008F47C8"/>
    <w:rsid w:val="008F6B78"/>
    <w:rsid w:val="009020EE"/>
    <w:rsid w:val="00902447"/>
    <w:rsid w:val="009024D4"/>
    <w:rsid w:val="0090252C"/>
    <w:rsid w:val="00904728"/>
    <w:rsid w:val="00904F6E"/>
    <w:rsid w:val="00906DB5"/>
    <w:rsid w:val="009072A9"/>
    <w:rsid w:val="009133E5"/>
    <w:rsid w:val="00913415"/>
    <w:rsid w:val="00915BC3"/>
    <w:rsid w:val="00916136"/>
    <w:rsid w:val="00916832"/>
    <w:rsid w:val="00917E0B"/>
    <w:rsid w:val="00920F92"/>
    <w:rsid w:val="00921906"/>
    <w:rsid w:val="009229E6"/>
    <w:rsid w:val="00924288"/>
    <w:rsid w:val="00924912"/>
    <w:rsid w:val="0092579B"/>
    <w:rsid w:val="00925E84"/>
    <w:rsid w:val="009270BB"/>
    <w:rsid w:val="00930F19"/>
    <w:rsid w:val="00933D28"/>
    <w:rsid w:val="009344EF"/>
    <w:rsid w:val="00934D40"/>
    <w:rsid w:val="009360FB"/>
    <w:rsid w:val="00936C3E"/>
    <w:rsid w:val="00937BA4"/>
    <w:rsid w:val="00943768"/>
    <w:rsid w:val="00946F71"/>
    <w:rsid w:val="0095249F"/>
    <w:rsid w:val="00954326"/>
    <w:rsid w:val="00955D72"/>
    <w:rsid w:val="00962614"/>
    <w:rsid w:val="009714B8"/>
    <w:rsid w:val="00972553"/>
    <w:rsid w:val="00972D0C"/>
    <w:rsid w:val="00972DEB"/>
    <w:rsid w:val="009736C2"/>
    <w:rsid w:val="00974C1E"/>
    <w:rsid w:val="00977BFA"/>
    <w:rsid w:val="00981F7C"/>
    <w:rsid w:val="0098347B"/>
    <w:rsid w:val="009868E7"/>
    <w:rsid w:val="009916AC"/>
    <w:rsid w:val="00991C65"/>
    <w:rsid w:val="00992D46"/>
    <w:rsid w:val="009951C3"/>
    <w:rsid w:val="00996A22"/>
    <w:rsid w:val="009976C2"/>
    <w:rsid w:val="009A7418"/>
    <w:rsid w:val="009B0014"/>
    <w:rsid w:val="009B08CE"/>
    <w:rsid w:val="009B1C63"/>
    <w:rsid w:val="009B29EA"/>
    <w:rsid w:val="009B359C"/>
    <w:rsid w:val="009B516C"/>
    <w:rsid w:val="009B69FB"/>
    <w:rsid w:val="009B6B7C"/>
    <w:rsid w:val="009B79DF"/>
    <w:rsid w:val="009C03D8"/>
    <w:rsid w:val="009C1491"/>
    <w:rsid w:val="009C530E"/>
    <w:rsid w:val="009C6134"/>
    <w:rsid w:val="009C6693"/>
    <w:rsid w:val="009D0996"/>
    <w:rsid w:val="009D489F"/>
    <w:rsid w:val="009D6F7C"/>
    <w:rsid w:val="009E1E36"/>
    <w:rsid w:val="009E2525"/>
    <w:rsid w:val="009E3654"/>
    <w:rsid w:val="009F1267"/>
    <w:rsid w:val="009F4ADC"/>
    <w:rsid w:val="009F53E0"/>
    <w:rsid w:val="009F568C"/>
    <w:rsid w:val="009F56D9"/>
    <w:rsid w:val="009F72A3"/>
    <w:rsid w:val="009F7C98"/>
    <w:rsid w:val="00A034B1"/>
    <w:rsid w:val="00A034DF"/>
    <w:rsid w:val="00A07909"/>
    <w:rsid w:val="00A105AA"/>
    <w:rsid w:val="00A12927"/>
    <w:rsid w:val="00A134CA"/>
    <w:rsid w:val="00A14E26"/>
    <w:rsid w:val="00A1718B"/>
    <w:rsid w:val="00A21DF4"/>
    <w:rsid w:val="00A226BB"/>
    <w:rsid w:val="00A23227"/>
    <w:rsid w:val="00A236D8"/>
    <w:rsid w:val="00A238C5"/>
    <w:rsid w:val="00A27692"/>
    <w:rsid w:val="00A27BD8"/>
    <w:rsid w:val="00A27D28"/>
    <w:rsid w:val="00A33282"/>
    <w:rsid w:val="00A345D5"/>
    <w:rsid w:val="00A35294"/>
    <w:rsid w:val="00A35E97"/>
    <w:rsid w:val="00A37EE2"/>
    <w:rsid w:val="00A41D67"/>
    <w:rsid w:val="00A42B8E"/>
    <w:rsid w:val="00A43A00"/>
    <w:rsid w:val="00A44841"/>
    <w:rsid w:val="00A5235C"/>
    <w:rsid w:val="00A5346E"/>
    <w:rsid w:val="00A54ED6"/>
    <w:rsid w:val="00A5628E"/>
    <w:rsid w:val="00A56E59"/>
    <w:rsid w:val="00A573F3"/>
    <w:rsid w:val="00A62F22"/>
    <w:rsid w:val="00A62FA0"/>
    <w:rsid w:val="00A636E1"/>
    <w:rsid w:val="00A6458C"/>
    <w:rsid w:val="00A65165"/>
    <w:rsid w:val="00A662BB"/>
    <w:rsid w:val="00A672C3"/>
    <w:rsid w:val="00A67C9A"/>
    <w:rsid w:val="00A70662"/>
    <w:rsid w:val="00A733BF"/>
    <w:rsid w:val="00A81606"/>
    <w:rsid w:val="00A837AE"/>
    <w:rsid w:val="00A8380C"/>
    <w:rsid w:val="00A853EF"/>
    <w:rsid w:val="00A90BDB"/>
    <w:rsid w:val="00A9364F"/>
    <w:rsid w:val="00A93B7E"/>
    <w:rsid w:val="00AA0479"/>
    <w:rsid w:val="00AA0E67"/>
    <w:rsid w:val="00AA1E3B"/>
    <w:rsid w:val="00AA3509"/>
    <w:rsid w:val="00AA39FE"/>
    <w:rsid w:val="00AA3AEF"/>
    <w:rsid w:val="00AA6252"/>
    <w:rsid w:val="00AA67C2"/>
    <w:rsid w:val="00AB0F60"/>
    <w:rsid w:val="00AB1B41"/>
    <w:rsid w:val="00AB250B"/>
    <w:rsid w:val="00AB2612"/>
    <w:rsid w:val="00AB7C89"/>
    <w:rsid w:val="00AC4FFA"/>
    <w:rsid w:val="00AC6F7D"/>
    <w:rsid w:val="00AD1CA4"/>
    <w:rsid w:val="00AD3C7E"/>
    <w:rsid w:val="00AD4A1F"/>
    <w:rsid w:val="00AD4C93"/>
    <w:rsid w:val="00AD61CE"/>
    <w:rsid w:val="00AD6CF2"/>
    <w:rsid w:val="00AE4E4A"/>
    <w:rsid w:val="00AE4FC1"/>
    <w:rsid w:val="00AE523B"/>
    <w:rsid w:val="00AE680D"/>
    <w:rsid w:val="00AE6EAD"/>
    <w:rsid w:val="00AF2AA0"/>
    <w:rsid w:val="00AF2F35"/>
    <w:rsid w:val="00AF345D"/>
    <w:rsid w:val="00B013DD"/>
    <w:rsid w:val="00B02AB1"/>
    <w:rsid w:val="00B03AB9"/>
    <w:rsid w:val="00B03C7D"/>
    <w:rsid w:val="00B05B81"/>
    <w:rsid w:val="00B06ACD"/>
    <w:rsid w:val="00B10960"/>
    <w:rsid w:val="00B11F83"/>
    <w:rsid w:val="00B12DCA"/>
    <w:rsid w:val="00B134CA"/>
    <w:rsid w:val="00B147AE"/>
    <w:rsid w:val="00B16E8D"/>
    <w:rsid w:val="00B23A73"/>
    <w:rsid w:val="00B25219"/>
    <w:rsid w:val="00B27AFB"/>
    <w:rsid w:val="00B31EE8"/>
    <w:rsid w:val="00B342B3"/>
    <w:rsid w:val="00B3599F"/>
    <w:rsid w:val="00B36CD3"/>
    <w:rsid w:val="00B40AFD"/>
    <w:rsid w:val="00B414DD"/>
    <w:rsid w:val="00B4156F"/>
    <w:rsid w:val="00B447DD"/>
    <w:rsid w:val="00B44A3A"/>
    <w:rsid w:val="00B45940"/>
    <w:rsid w:val="00B470C1"/>
    <w:rsid w:val="00B55C5F"/>
    <w:rsid w:val="00B574AE"/>
    <w:rsid w:val="00B6203F"/>
    <w:rsid w:val="00B6293F"/>
    <w:rsid w:val="00B63593"/>
    <w:rsid w:val="00B64356"/>
    <w:rsid w:val="00B67449"/>
    <w:rsid w:val="00B72E13"/>
    <w:rsid w:val="00B73FFF"/>
    <w:rsid w:val="00B82C29"/>
    <w:rsid w:val="00B83E25"/>
    <w:rsid w:val="00B869CC"/>
    <w:rsid w:val="00B86C80"/>
    <w:rsid w:val="00B91382"/>
    <w:rsid w:val="00B913A3"/>
    <w:rsid w:val="00B92C8E"/>
    <w:rsid w:val="00B967B8"/>
    <w:rsid w:val="00B96E87"/>
    <w:rsid w:val="00B97A92"/>
    <w:rsid w:val="00BA3409"/>
    <w:rsid w:val="00BA506D"/>
    <w:rsid w:val="00BA6900"/>
    <w:rsid w:val="00BA7903"/>
    <w:rsid w:val="00BB0F21"/>
    <w:rsid w:val="00BB208F"/>
    <w:rsid w:val="00BB5678"/>
    <w:rsid w:val="00BC0C3D"/>
    <w:rsid w:val="00BC215D"/>
    <w:rsid w:val="00BC2401"/>
    <w:rsid w:val="00BC2B56"/>
    <w:rsid w:val="00BC35FA"/>
    <w:rsid w:val="00BC7686"/>
    <w:rsid w:val="00BD075C"/>
    <w:rsid w:val="00BD171E"/>
    <w:rsid w:val="00BD1D2A"/>
    <w:rsid w:val="00BD2D88"/>
    <w:rsid w:val="00BD77FF"/>
    <w:rsid w:val="00BE196B"/>
    <w:rsid w:val="00BE1B91"/>
    <w:rsid w:val="00BE2EF3"/>
    <w:rsid w:val="00BE5CD8"/>
    <w:rsid w:val="00BE632A"/>
    <w:rsid w:val="00BE7028"/>
    <w:rsid w:val="00BF0372"/>
    <w:rsid w:val="00BF09FB"/>
    <w:rsid w:val="00BF2D08"/>
    <w:rsid w:val="00BF40E2"/>
    <w:rsid w:val="00BF44BD"/>
    <w:rsid w:val="00BF4601"/>
    <w:rsid w:val="00BF51C9"/>
    <w:rsid w:val="00BF7B7E"/>
    <w:rsid w:val="00BF7F7E"/>
    <w:rsid w:val="00C0088C"/>
    <w:rsid w:val="00C04E61"/>
    <w:rsid w:val="00C0682A"/>
    <w:rsid w:val="00C07E57"/>
    <w:rsid w:val="00C12B92"/>
    <w:rsid w:val="00C14A02"/>
    <w:rsid w:val="00C150B5"/>
    <w:rsid w:val="00C207FE"/>
    <w:rsid w:val="00C22393"/>
    <w:rsid w:val="00C22DE1"/>
    <w:rsid w:val="00C243C6"/>
    <w:rsid w:val="00C2480E"/>
    <w:rsid w:val="00C260D1"/>
    <w:rsid w:val="00C268CE"/>
    <w:rsid w:val="00C30079"/>
    <w:rsid w:val="00C32846"/>
    <w:rsid w:val="00C34373"/>
    <w:rsid w:val="00C34CA8"/>
    <w:rsid w:val="00C42BF5"/>
    <w:rsid w:val="00C43A0A"/>
    <w:rsid w:val="00C4462F"/>
    <w:rsid w:val="00C46879"/>
    <w:rsid w:val="00C504EB"/>
    <w:rsid w:val="00C50F11"/>
    <w:rsid w:val="00C53289"/>
    <w:rsid w:val="00C54CEE"/>
    <w:rsid w:val="00C5509A"/>
    <w:rsid w:val="00C561B8"/>
    <w:rsid w:val="00C57D99"/>
    <w:rsid w:val="00C628F5"/>
    <w:rsid w:val="00C62AA0"/>
    <w:rsid w:val="00C64996"/>
    <w:rsid w:val="00C65279"/>
    <w:rsid w:val="00C655DF"/>
    <w:rsid w:val="00C66E23"/>
    <w:rsid w:val="00C67224"/>
    <w:rsid w:val="00C674BA"/>
    <w:rsid w:val="00C72C2D"/>
    <w:rsid w:val="00C7383D"/>
    <w:rsid w:val="00C73E83"/>
    <w:rsid w:val="00C74119"/>
    <w:rsid w:val="00C7487E"/>
    <w:rsid w:val="00C7670E"/>
    <w:rsid w:val="00C76A34"/>
    <w:rsid w:val="00C8012C"/>
    <w:rsid w:val="00C81298"/>
    <w:rsid w:val="00C81D4D"/>
    <w:rsid w:val="00C83237"/>
    <w:rsid w:val="00C83D26"/>
    <w:rsid w:val="00C840A0"/>
    <w:rsid w:val="00C848A9"/>
    <w:rsid w:val="00C86E25"/>
    <w:rsid w:val="00C91257"/>
    <w:rsid w:val="00C91440"/>
    <w:rsid w:val="00C966ED"/>
    <w:rsid w:val="00CA1641"/>
    <w:rsid w:val="00CA243A"/>
    <w:rsid w:val="00CA4818"/>
    <w:rsid w:val="00CB02F9"/>
    <w:rsid w:val="00CB210F"/>
    <w:rsid w:val="00CC0D75"/>
    <w:rsid w:val="00CC2AC7"/>
    <w:rsid w:val="00CC3C62"/>
    <w:rsid w:val="00CC79C2"/>
    <w:rsid w:val="00CD0AB4"/>
    <w:rsid w:val="00CD11BC"/>
    <w:rsid w:val="00CD134C"/>
    <w:rsid w:val="00CD4034"/>
    <w:rsid w:val="00CD7257"/>
    <w:rsid w:val="00CD7651"/>
    <w:rsid w:val="00CE3491"/>
    <w:rsid w:val="00CE372E"/>
    <w:rsid w:val="00CE6589"/>
    <w:rsid w:val="00CF0F84"/>
    <w:rsid w:val="00CF56B5"/>
    <w:rsid w:val="00D02349"/>
    <w:rsid w:val="00D04F8F"/>
    <w:rsid w:val="00D103C7"/>
    <w:rsid w:val="00D10EDA"/>
    <w:rsid w:val="00D12512"/>
    <w:rsid w:val="00D12D25"/>
    <w:rsid w:val="00D12F2A"/>
    <w:rsid w:val="00D17D95"/>
    <w:rsid w:val="00D20952"/>
    <w:rsid w:val="00D20D24"/>
    <w:rsid w:val="00D22F7F"/>
    <w:rsid w:val="00D23493"/>
    <w:rsid w:val="00D320A3"/>
    <w:rsid w:val="00D32389"/>
    <w:rsid w:val="00D33F49"/>
    <w:rsid w:val="00D4167A"/>
    <w:rsid w:val="00D43530"/>
    <w:rsid w:val="00D443CF"/>
    <w:rsid w:val="00D44A59"/>
    <w:rsid w:val="00D44D8F"/>
    <w:rsid w:val="00D4741D"/>
    <w:rsid w:val="00D4744F"/>
    <w:rsid w:val="00D508CC"/>
    <w:rsid w:val="00D508D7"/>
    <w:rsid w:val="00D51BBF"/>
    <w:rsid w:val="00D51F12"/>
    <w:rsid w:val="00D54100"/>
    <w:rsid w:val="00D554BB"/>
    <w:rsid w:val="00D55AE4"/>
    <w:rsid w:val="00D56732"/>
    <w:rsid w:val="00D57A75"/>
    <w:rsid w:val="00D57E3E"/>
    <w:rsid w:val="00D6276C"/>
    <w:rsid w:val="00D66D8E"/>
    <w:rsid w:val="00D67A4C"/>
    <w:rsid w:val="00D7034C"/>
    <w:rsid w:val="00D72614"/>
    <w:rsid w:val="00D730AF"/>
    <w:rsid w:val="00D8019C"/>
    <w:rsid w:val="00D80AB7"/>
    <w:rsid w:val="00D81F84"/>
    <w:rsid w:val="00D837F2"/>
    <w:rsid w:val="00D87CEC"/>
    <w:rsid w:val="00D92526"/>
    <w:rsid w:val="00D93969"/>
    <w:rsid w:val="00D9652E"/>
    <w:rsid w:val="00DA1497"/>
    <w:rsid w:val="00DA44A6"/>
    <w:rsid w:val="00DA6346"/>
    <w:rsid w:val="00DA78A3"/>
    <w:rsid w:val="00DB0807"/>
    <w:rsid w:val="00DB1206"/>
    <w:rsid w:val="00DB2705"/>
    <w:rsid w:val="00DB30F3"/>
    <w:rsid w:val="00DB414E"/>
    <w:rsid w:val="00DB6230"/>
    <w:rsid w:val="00DB71F7"/>
    <w:rsid w:val="00DB74FF"/>
    <w:rsid w:val="00DC275C"/>
    <w:rsid w:val="00DC381C"/>
    <w:rsid w:val="00DC3CF7"/>
    <w:rsid w:val="00DC5873"/>
    <w:rsid w:val="00DC6A6E"/>
    <w:rsid w:val="00DC7933"/>
    <w:rsid w:val="00DD0808"/>
    <w:rsid w:val="00DD0B5A"/>
    <w:rsid w:val="00DD1305"/>
    <w:rsid w:val="00DD20AA"/>
    <w:rsid w:val="00DD2AD6"/>
    <w:rsid w:val="00DE1739"/>
    <w:rsid w:val="00DE30AB"/>
    <w:rsid w:val="00DF2A09"/>
    <w:rsid w:val="00DF46C4"/>
    <w:rsid w:val="00DF517B"/>
    <w:rsid w:val="00E01643"/>
    <w:rsid w:val="00E044A1"/>
    <w:rsid w:val="00E0554D"/>
    <w:rsid w:val="00E10B10"/>
    <w:rsid w:val="00E114FC"/>
    <w:rsid w:val="00E14DBF"/>
    <w:rsid w:val="00E15E0D"/>
    <w:rsid w:val="00E17DE4"/>
    <w:rsid w:val="00E201A7"/>
    <w:rsid w:val="00E2037A"/>
    <w:rsid w:val="00E20849"/>
    <w:rsid w:val="00E20BE0"/>
    <w:rsid w:val="00E21824"/>
    <w:rsid w:val="00E22820"/>
    <w:rsid w:val="00E25143"/>
    <w:rsid w:val="00E25C9F"/>
    <w:rsid w:val="00E26CF8"/>
    <w:rsid w:val="00E302BC"/>
    <w:rsid w:val="00E32204"/>
    <w:rsid w:val="00E34118"/>
    <w:rsid w:val="00E35B2B"/>
    <w:rsid w:val="00E4053C"/>
    <w:rsid w:val="00E4313A"/>
    <w:rsid w:val="00E45EDE"/>
    <w:rsid w:val="00E53AA9"/>
    <w:rsid w:val="00E545D6"/>
    <w:rsid w:val="00E55D99"/>
    <w:rsid w:val="00E5709D"/>
    <w:rsid w:val="00E573AF"/>
    <w:rsid w:val="00E604B2"/>
    <w:rsid w:val="00E648A5"/>
    <w:rsid w:val="00E6774E"/>
    <w:rsid w:val="00E720A7"/>
    <w:rsid w:val="00E73CC4"/>
    <w:rsid w:val="00E74B7B"/>
    <w:rsid w:val="00E7755C"/>
    <w:rsid w:val="00E80A3B"/>
    <w:rsid w:val="00E80E51"/>
    <w:rsid w:val="00E844DA"/>
    <w:rsid w:val="00E86594"/>
    <w:rsid w:val="00E90D8C"/>
    <w:rsid w:val="00E97049"/>
    <w:rsid w:val="00EA1EA3"/>
    <w:rsid w:val="00EA1F67"/>
    <w:rsid w:val="00EA31E1"/>
    <w:rsid w:val="00EA7C75"/>
    <w:rsid w:val="00EB37ED"/>
    <w:rsid w:val="00EB7064"/>
    <w:rsid w:val="00EB737D"/>
    <w:rsid w:val="00EC2484"/>
    <w:rsid w:val="00EC29F7"/>
    <w:rsid w:val="00ED06D4"/>
    <w:rsid w:val="00ED1437"/>
    <w:rsid w:val="00ED353C"/>
    <w:rsid w:val="00ED68BF"/>
    <w:rsid w:val="00ED762B"/>
    <w:rsid w:val="00EE16BE"/>
    <w:rsid w:val="00EE2272"/>
    <w:rsid w:val="00EE398B"/>
    <w:rsid w:val="00EF0DA9"/>
    <w:rsid w:val="00EF2846"/>
    <w:rsid w:val="00EF5927"/>
    <w:rsid w:val="00EF61CE"/>
    <w:rsid w:val="00EF74B9"/>
    <w:rsid w:val="00EF7957"/>
    <w:rsid w:val="00EF7AB5"/>
    <w:rsid w:val="00F0021F"/>
    <w:rsid w:val="00F05FCC"/>
    <w:rsid w:val="00F06AE0"/>
    <w:rsid w:val="00F119DE"/>
    <w:rsid w:val="00F13E68"/>
    <w:rsid w:val="00F150B2"/>
    <w:rsid w:val="00F156BA"/>
    <w:rsid w:val="00F30182"/>
    <w:rsid w:val="00F30EAA"/>
    <w:rsid w:val="00F312B3"/>
    <w:rsid w:val="00F457DC"/>
    <w:rsid w:val="00F46AED"/>
    <w:rsid w:val="00F4750C"/>
    <w:rsid w:val="00F526C6"/>
    <w:rsid w:val="00F53E77"/>
    <w:rsid w:val="00F55E9D"/>
    <w:rsid w:val="00F565EE"/>
    <w:rsid w:val="00F5668F"/>
    <w:rsid w:val="00F56A8C"/>
    <w:rsid w:val="00F60B41"/>
    <w:rsid w:val="00F6107F"/>
    <w:rsid w:val="00F67B40"/>
    <w:rsid w:val="00F67CFD"/>
    <w:rsid w:val="00F7006B"/>
    <w:rsid w:val="00F730F5"/>
    <w:rsid w:val="00F736C9"/>
    <w:rsid w:val="00F74903"/>
    <w:rsid w:val="00F749FA"/>
    <w:rsid w:val="00F76763"/>
    <w:rsid w:val="00F77E69"/>
    <w:rsid w:val="00F81C7F"/>
    <w:rsid w:val="00F83129"/>
    <w:rsid w:val="00F92C46"/>
    <w:rsid w:val="00F97D4D"/>
    <w:rsid w:val="00F97F1A"/>
    <w:rsid w:val="00FA3914"/>
    <w:rsid w:val="00FA4583"/>
    <w:rsid w:val="00FA772B"/>
    <w:rsid w:val="00FB2FDE"/>
    <w:rsid w:val="00FC1632"/>
    <w:rsid w:val="00FC5790"/>
    <w:rsid w:val="00FD0286"/>
    <w:rsid w:val="00FD0CB0"/>
    <w:rsid w:val="00FD5932"/>
    <w:rsid w:val="00FD6189"/>
    <w:rsid w:val="00FD765E"/>
    <w:rsid w:val="00FE0F39"/>
    <w:rsid w:val="00FE17E5"/>
    <w:rsid w:val="00FE370F"/>
    <w:rsid w:val="00FE3844"/>
    <w:rsid w:val="00FE395F"/>
    <w:rsid w:val="00FE442C"/>
    <w:rsid w:val="00FE449B"/>
    <w:rsid w:val="00FE6E8B"/>
    <w:rsid w:val="00FF70B4"/>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8B0FE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B0FE3"/>
    <w:pPr>
      <w:spacing w:before="100" w:beforeAutospacing="1" w:after="100" w:afterAutospacing="1"/>
      <w:ind w:right="1500"/>
    </w:pPr>
    <w:rPr>
      <w:sz w:val="20"/>
      <w:szCs w:val="20"/>
    </w:rPr>
  </w:style>
  <w:style w:type="paragraph" w:styleId="BalloonText">
    <w:name w:val="Balloon Text"/>
    <w:basedOn w:val="Normal"/>
    <w:semiHidden/>
    <w:rsid w:val="00CC2AC7"/>
    <w:rPr>
      <w:rFonts w:ascii="Tahoma" w:hAnsi="Tahoma" w:cs="Tahoma"/>
      <w:sz w:val="16"/>
      <w:szCs w:val="16"/>
    </w:rPr>
  </w:style>
  <w:style w:type="character" w:styleId="Hyperlink">
    <w:name w:val="Hyperlink"/>
    <w:uiPriority w:val="99"/>
    <w:rsid w:val="00770B32"/>
    <w:rPr>
      <w:color w:val="0000FF"/>
      <w:u w:val="single"/>
    </w:rPr>
  </w:style>
  <w:style w:type="paragraph" w:customStyle="1" w:styleId="Default">
    <w:name w:val="Default"/>
    <w:rsid w:val="00670E3F"/>
    <w:pPr>
      <w:autoSpaceDE w:val="0"/>
      <w:autoSpaceDN w:val="0"/>
      <w:adjustRightInd w:val="0"/>
    </w:pPr>
    <w:rPr>
      <w:rFonts w:ascii="Arial" w:hAnsi="Arial" w:cs="Arial"/>
      <w:color w:val="000000"/>
      <w:sz w:val="24"/>
      <w:szCs w:val="24"/>
    </w:rPr>
  </w:style>
  <w:style w:type="paragraph" w:customStyle="1" w:styleId="default0">
    <w:name w:val="default"/>
    <w:basedOn w:val="Normal"/>
    <w:rsid w:val="00CE372E"/>
    <w:pPr>
      <w:autoSpaceDE w:val="0"/>
      <w:autoSpaceDN w:val="0"/>
    </w:pPr>
    <w:rPr>
      <w:rFonts w:ascii="Arial" w:hAnsi="Arial" w:cs="Arial"/>
      <w:color w:val="000000"/>
    </w:rPr>
  </w:style>
  <w:style w:type="character" w:customStyle="1" w:styleId="Heading4Char">
    <w:name w:val="Heading 4 Char"/>
    <w:link w:val="Heading4"/>
    <w:uiPriority w:val="9"/>
    <w:rsid w:val="004D5A6D"/>
    <w:rPr>
      <w:b/>
      <w:bCs/>
      <w:sz w:val="24"/>
      <w:szCs w:val="24"/>
    </w:rPr>
  </w:style>
  <w:style w:type="paragraph" w:styleId="ListParagraph">
    <w:name w:val="List Paragraph"/>
    <w:basedOn w:val="Normal"/>
    <w:uiPriority w:val="34"/>
    <w:qFormat/>
    <w:rsid w:val="0060155C"/>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8E1868"/>
  </w:style>
  <w:style w:type="paragraph" w:styleId="Header">
    <w:name w:val="header"/>
    <w:basedOn w:val="Normal"/>
    <w:link w:val="HeaderChar"/>
    <w:rsid w:val="00FA772B"/>
    <w:pPr>
      <w:tabs>
        <w:tab w:val="center" w:pos="4680"/>
        <w:tab w:val="right" w:pos="9360"/>
      </w:tabs>
    </w:pPr>
  </w:style>
  <w:style w:type="character" w:customStyle="1" w:styleId="HeaderChar">
    <w:name w:val="Header Char"/>
    <w:basedOn w:val="DefaultParagraphFont"/>
    <w:link w:val="Header"/>
    <w:rsid w:val="00FA772B"/>
    <w:rPr>
      <w:sz w:val="24"/>
      <w:szCs w:val="24"/>
    </w:rPr>
  </w:style>
  <w:style w:type="paragraph" w:styleId="Footer">
    <w:name w:val="footer"/>
    <w:basedOn w:val="Normal"/>
    <w:link w:val="FooterChar"/>
    <w:uiPriority w:val="99"/>
    <w:rsid w:val="00FA772B"/>
    <w:pPr>
      <w:tabs>
        <w:tab w:val="center" w:pos="4680"/>
        <w:tab w:val="right" w:pos="9360"/>
      </w:tabs>
    </w:pPr>
  </w:style>
  <w:style w:type="character" w:customStyle="1" w:styleId="FooterChar">
    <w:name w:val="Footer Char"/>
    <w:basedOn w:val="DefaultParagraphFont"/>
    <w:link w:val="Footer"/>
    <w:uiPriority w:val="99"/>
    <w:rsid w:val="00FA77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8B0FE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B0FE3"/>
    <w:pPr>
      <w:spacing w:before="100" w:beforeAutospacing="1" w:after="100" w:afterAutospacing="1"/>
      <w:ind w:right="1500"/>
    </w:pPr>
    <w:rPr>
      <w:sz w:val="20"/>
      <w:szCs w:val="20"/>
    </w:rPr>
  </w:style>
  <w:style w:type="paragraph" w:styleId="BalloonText">
    <w:name w:val="Balloon Text"/>
    <w:basedOn w:val="Normal"/>
    <w:semiHidden/>
    <w:rsid w:val="00CC2AC7"/>
    <w:rPr>
      <w:rFonts w:ascii="Tahoma" w:hAnsi="Tahoma" w:cs="Tahoma"/>
      <w:sz w:val="16"/>
      <w:szCs w:val="16"/>
    </w:rPr>
  </w:style>
  <w:style w:type="character" w:styleId="Hyperlink">
    <w:name w:val="Hyperlink"/>
    <w:uiPriority w:val="99"/>
    <w:rsid w:val="00770B32"/>
    <w:rPr>
      <w:color w:val="0000FF"/>
      <w:u w:val="single"/>
    </w:rPr>
  </w:style>
  <w:style w:type="paragraph" w:customStyle="1" w:styleId="Default">
    <w:name w:val="Default"/>
    <w:rsid w:val="00670E3F"/>
    <w:pPr>
      <w:autoSpaceDE w:val="0"/>
      <w:autoSpaceDN w:val="0"/>
      <w:adjustRightInd w:val="0"/>
    </w:pPr>
    <w:rPr>
      <w:rFonts w:ascii="Arial" w:hAnsi="Arial" w:cs="Arial"/>
      <w:color w:val="000000"/>
      <w:sz w:val="24"/>
      <w:szCs w:val="24"/>
    </w:rPr>
  </w:style>
  <w:style w:type="paragraph" w:customStyle="1" w:styleId="default0">
    <w:name w:val="default"/>
    <w:basedOn w:val="Normal"/>
    <w:rsid w:val="00CE372E"/>
    <w:pPr>
      <w:autoSpaceDE w:val="0"/>
      <w:autoSpaceDN w:val="0"/>
    </w:pPr>
    <w:rPr>
      <w:rFonts w:ascii="Arial" w:hAnsi="Arial" w:cs="Arial"/>
      <w:color w:val="000000"/>
    </w:rPr>
  </w:style>
  <w:style w:type="character" w:customStyle="1" w:styleId="Heading4Char">
    <w:name w:val="Heading 4 Char"/>
    <w:link w:val="Heading4"/>
    <w:uiPriority w:val="9"/>
    <w:rsid w:val="004D5A6D"/>
    <w:rPr>
      <w:b/>
      <w:bCs/>
      <w:sz w:val="24"/>
      <w:szCs w:val="24"/>
    </w:rPr>
  </w:style>
  <w:style w:type="paragraph" w:styleId="ListParagraph">
    <w:name w:val="List Paragraph"/>
    <w:basedOn w:val="Normal"/>
    <w:uiPriority w:val="34"/>
    <w:qFormat/>
    <w:rsid w:val="0060155C"/>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8E1868"/>
  </w:style>
  <w:style w:type="paragraph" w:styleId="Header">
    <w:name w:val="header"/>
    <w:basedOn w:val="Normal"/>
    <w:link w:val="HeaderChar"/>
    <w:rsid w:val="00FA772B"/>
    <w:pPr>
      <w:tabs>
        <w:tab w:val="center" w:pos="4680"/>
        <w:tab w:val="right" w:pos="9360"/>
      </w:tabs>
    </w:pPr>
  </w:style>
  <w:style w:type="character" w:customStyle="1" w:styleId="HeaderChar">
    <w:name w:val="Header Char"/>
    <w:basedOn w:val="DefaultParagraphFont"/>
    <w:link w:val="Header"/>
    <w:rsid w:val="00FA772B"/>
    <w:rPr>
      <w:sz w:val="24"/>
      <w:szCs w:val="24"/>
    </w:rPr>
  </w:style>
  <w:style w:type="paragraph" w:styleId="Footer">
    <w:name w:val="footer"/>
    <w:basedOn w:val="Normal"/>
    <w:link w:val="FooterChar"/>
    <w:uiPriority w:val="99"/>
    <w:rsid w:val="00FA772B"/>
    <w:pPr>
      <w:tabs>
        <w:tab w:val="center" w:pos="4680"/>
        <w:tab w:val="right" w:pos="9360"/>
      </w:tabs>
    </w:pPr>
  </w:style>
  <w:style w:type="character" w:customStyle="1" w:styleId="FooterChar">
    <w:name w:val="Footer Char"/>
    <w:basedOn w:val="DefaultParagraphFont"/>
    <w:link w:val="Footer"/>
    <w:uiPriority w:val="99"/>
    <w:rsid w:val="00FA77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863">
      <w:bodyDiv w:val="1"/>
      <w:marLeft w:val="0"/>
      <w:marRight w:val="0"/>
      <w:marTop w:val="0"/>
      <w:marBottom w:val="0"/>
      <w:divBdr>
        <w:top w:val="none" w:sz="0" w:space="0" w:color="auto"/>
        <w:left w:val="none" w:sz="0" w:space="0" w:color="auto"/>
        <w:bottom w:val="none" w:sz="0" w:space="0" w:color="auto"/>
        <w:right w:val="none" w:sz="0" w:space="0" w:color="auto"/>
      </w:divBdr>
    </w:div>
    <w:div w:id="139269350">
      <w:bodyDiv w:val="1"/>
      <w:marLeft w:val="0"/>
      <w:marRight w:val="0"/>
      <w:marTop w:val="0"/>
      <w:marBottom w:val="0"/>
      <w:divBdr>
        <w:top w:val="none" w:sz="0" w:space="0" w:color="auto"/>
        <w:left w:val="none" w:sz="0" w:space="0" w:color="auto"/>
        <w:bottom w:val="none" w:sz="0" w:space="0" w:color="auto"/>
        <w:right w:val="none" w:sz="0" w:space="0" w:color="auto"/>
      </w:divBdr>
    </w:div>
    <w:div w:id="183591891">
      <w:bodyDiv w:val="1"/>
      <w:marLeft w:val="0"/>
      <w:marRight w:val="0"/>
      <w:marTop w:val="0"/>
      <w:marBottom w:val="0"/>
      <w:divBdr>
        <w:top w:val="none" w:sz="0" w:space="0" w:color="auto"/>
        <w:left w:val="none" w:sz="0" w:space="0" w:color="auto"/>
        <w:bottom w:val="none" w:sz="0" w:space="0" w:color="auto"/>
        <w:right w:val="none" w:sz="0" w:space="0" w:color="auto"/>
      </w:divBdr>
    </w:div>
    <w:div w:id="230896935">
      <w:bodyDiv w:val="1"/>
      <w:marLeft w:val="0"/>
      <w:marRight w:val="0"/>
      <w:marTop w:val="0"/>
      <w:marBottom w:val="0"/>
      <w:divBdr>
        <w:top w:val="none" w:sz="0" w:space="0" w:color="auto"/>
        <w:left w:val="none" w:sz="0" w:space="0" w:color="auto"/>
        <w:bottom w:val="none" w:sz="0" w:space="0" w:color="auto"/>
        <w:right w:val="none" w:sz="0" w:space="0" w:color="auto"/>
      </w:divBdr>
    </w:div>
    <w:div w:id="347223179">
      <w:bodyDiv w:val="1"/>
      <w:marLeft w:val="0"/>
      <w:marRight w:val="0"/>
      <w:marTop w:val="0"/>
      <w:marBottom w:val="0"/>
      <w:divBdr>
        <w:top w:val="none" w:sz="0" w:space="0" w:color="auto"/>
        <w:left w:val="none" w:sz="0" w:space="0" w:color="auto"/>
        <w:bottom w:val="none" w:sz="0" w:space="0" w:color="auto"/>
        <w:right w:val="none" w:sz="0" w:space="0" w:color="auto"/>
      </w:divBdr>
    </w:div>
    <w:div w:id="450516822">
      <w:bodyDiv w:val="1"/>
      <w:marLeft w:val="0"/>
      <w:marRight w:val="0"/>
      <w:marTop w:val="0"/>
      <w:marBottom w:val="0"/>
      <w:divBdr>
        <w:top w:val="none" w:sz="0" w:space="0" w:color="auto"/>
        <w:left w:val="none" w:sz="0" w:space="0" w:color="auto"/>
        <w:bottom w:val="none" w:sz="0" w:space="0" w:color="auto"/>
        <w:right w:val="none" w:sz="0" w:space="0" w:color="auto"/>
      </w:divBdr>
    </w:div>
    <w:div w:id="487790417">
      <w:bodyDiv w:val="1"/>
      <w:marLeft w:val="0"/>
      <w:marRight w:val="0"/>
      <w:marTop w:val="0"/>
      <w:marBottom w:val="0"/>
      <w:divBdr>
        <w:top w:val="none" w:sz="0" w:space="0" w:color="auto"/>
        <w:left w:val="none" w:sz="0" w:space="0" w:color="auto"/>
        <w:bottom w:val="none" w:sz="0" w:space="0" w:color="auto"/>
        <w:right w:val="none" w:sz="0" w:space="0" w:color="auto"/>
      </w:divBdr>
    </w:div>
    <w:div w:id="514810155">
      <w:bodyDiv w:val="1"/>
      <w:marLeft w:val="0"/>
      <w:marRight w:val="0"/>
      <w:marTop w:val="0"/>
      <w:marBottom w:val="0"/>
      <w:divBdr>
        <w:top w:val="none" w:sz="0" w:space="0" w:color="auto"/>
        <w:left w:val="none" w:sz="0" w:space="0" w:color="auto"/>
        <w:bottom w:val="none" w:sz="0" w:space="0" w:color="auto"/>
        <w:right w:val="none" w:sz="0" w:space="0" w:color="auto"/>
      </w:divBdr>
    </w:div>
    <w:div w:id="535655664">
      <w:bodyDiv w:val="1"/>
      <w:marLeft w:val="0"/>
      <w:marRight w:val="0"/>
      <w:marTop w:val="0"/>
      <w:marBottom w:val="0"/>
      <w:divBdr>
        <w:top w:val="none" w:sz="0" w:space="0" w:color="auto"/>
        <w:left w:val="none" w:sz="0" w:space="0" w:color="auto"/>
        <w:bottom w:val="none" w:sz="0" w:space="0" w:color="auto"/>
        <w:right w:val="none" w:sz="0" w:space="0" w:color="auto"/>
      </w:divBdr>
    </w:div>
    <w:div w:id="565847517">
      <w:bodyDiv w:val="1"/>
      <w:marLeft w:val="0"/>
      <w:marRight w:val="0"/>
      <w:marTop w:val="0"/>
      <w:marBottom w:val="0"/>
      <w:divBdr>
        <w:top w:val="none" w:sz="0" w:space="0" w:color="auto"/>
        <w:left w:val="none" w:sz="0" w:space="0" w:color="auto"/>
        <w:bottom w:val="none" w:sz="0" w:space="0" w:color="auto"/>
        <w:right w:val="none" w:sz="0" w:space="0" w:color="auto"/>
      </w:divBdr>
      <w:divsChild>
        <w:div w:id="207375957">
          <w:marLeft w:val="0"/>
          <w:marRight w:val="0"/>
          <w:marTop w:val="0"/>
          <w:marBottom w:val="0"/>
          <w:divBdr>
            <w:top w:val="none" w:sz="0" w:space="0" w:color="auto"/>
            <w:left w:val="none" w:sz="0" w:space="0" w:color="auto"/>
            <w:bottom w:val="none" w:sz="0" w:space="0" w:color="auto"/>
            <w:right w:val="none" w:sz="0" w:space="0" w:color="auto"/>
          </w:divBdr>
          <w:divsChild>
            <w:div w:id="1239364078">
              <w:marLeft w:val="0"/>
              <w:marRight w:val="0"/>
              <w:marTop w:val="0"/>
              <w:marBottom w:val="0"/>
              <w:divBdr>
                <w:top w:val="none" w:sz="0" w:space="0" w:color="auto"/>
                <w:left w:val="none" w:sz="0" w:space="0" w:color="auto"/>
                <w:bottom w:val="none" w:sz="0" w:space="0" w:color="auto"/>
                <w:right w:val="none" w:sz="0" w:space="0" w:color="auto"/>
              </w:divBdr>
              <w:divsChild>
                <w:div w:id="4102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91493">
      <w:bodyDiv w:val="1"/>
      <w:marLeft w:val="0"/>
      <w:marRight w:val="0"/>
      <w:marTop w:val="0"/>
      <w:marBottom w:val="0"/>
      <w:divBdr>
        <w:top w:val="none" w:sz="0" w:space="0" w:color="auto"/>
        <w:left w:val="none" w:sz="0" w:space="0" w:color="auto"/>
        <w:bottom w:val="none" w:sz="0" w:space="0" w:color="auto"/>
        <w:right w:val="none" w:sz="0" w:space="0" w:color="auto"/>
      </w:divBdr>
      <w:divsChild>
        <w:div w:id="1815177594">
          <w:marLeft w:val="0"/>
          <w:marRight w:val="0"/>
          <w:marTop w:val="0"/>
          <w:marBottom w:val="0"/>
          <w:divBdr>
            <w:top w:val="none" w:sz="0" w:space="0" w:color="auto"/>
            <w:left w:val="none" w:sz="0" w:space="0" w:color="auto"/>
            <w:bottom w:val="none" w:sz="0" w:space="0" w:color="auto"/>
            <w:right w:val="none" w:sz="0" w:space="0" w:color="auto"/>
          </w:divBdr>
          <w:divsChild>
            <w:div w:id="1550142168">
              <w:marLeft w:val="0"/>
              <w:marRight w:val="0"/>
              <w:marTop w:val="0"/>
              <w:marBottom w:val="0"/>
              <w:divBdr>
                <w:top w:val="none" w:sz="0" w:space="0" w:color="auto"/>
                <w:left w:val="none" w:sz="0" w:space="0" w:color="auto"/>
                <w:bottom w:val="none" w:sz="0" w:space="0" w:color="auto"/>
                <w:right w:val="none" w:sz="0" w:space="0" w:color="auto"/>
              </w:divBdr>
              <w:divsChild>
                <w:div w:id="3075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3867">
      <w:bodyDiv w:val="1"/>
      <w:marLeft w:val="0"/>
      <w:marRight w:val="0"/>
      <w:marTop w:val="0"/>
      <w:marBottom w:val="0"/>
      <w:divBdr>
        <w:top w:val="none" w:sz="0" w:space="0" w:color="auto"/>
        <w:left w:val="none" w:sz="0" w:space="0" w:color="auto"/>
        <w:bottom w:val="none" w:sz="0" w:space="0" w:color="auto"/>
        <w:right w:val="none" w:sz="0" w:space="0" w:color="auto"/>
      </w:divBdr>
    </w:div>
    <w:div w:id="709840295">
      <w:bodyDiv w:val="1"/>
      <w:marLeft w:val="0"/>
      <w:marRight w:val="0"/>
      <w:marTop w:val="0"/>
      <w:marBottom w:val="0"/>
      <w:divBdr>
        <w:top w:val="none" w:sz="0" w:space="0" w:color="auto"/>
        <w:left w:val="none" w:sz="0" w:space="0" w:color="auto"/>
        <w:bottom w:val="none" w:sz="0" w:space="0" w:color="auto"/>
        <w:right w:val="none" w:sz="0" w:space="0" w:color="auto"/>
      </w:divBdr>
    </w:div>
    <w:div w:id="882520381">
      <w:bodyDiv w:val="1"/>
      <w:marLeft w:val="0"/>
      <w:marRight w:val="0"/>
      <w:marTop w:val="0"/>
      <w:marBottom w:val="0"/>
      <w:divBdr>
        <w:top w:val="none" w:sz="0" w:space="0" w:color="auto"/>
        <w:left w:val="none" w:sz="0" w:space="0" w:color="auto"/>
        <w:bottom w:val="none" w:sz="0" w:space="0" w:color="auto"/>
        <w:right w:val="none" w:sz="0" w:space="0" w:color="auto"/>
      </w:divBdr>
    </w:div>
    <w:div w:id="1091321341">
      <w:bodyDiv w:val="1"/>
      <w:marLeft w:val="0"/>
      <w:marRight w:val="0"/>
      <w:marTop w:val="0"/>
      <w:marBottom w:val="0"/>
      <w:divBdr>
        <w:top w:val="none" w:sz="0" w:space="0" w:color="auto"/>
        <w:left w:val="none" w:sz="0" w:space="0" w:color="auto"/>
        <w:bottom w:val="none" w:sz="0" w:space="0" w:color="auto"/>
        <w:right w:val="none" w:sz="0" w:space="0" w:color="auto"/>
      </w:divBdr>
    </w:div>
    <w:div w:id="1275477161">
      <w:bodyDiv w:val="1"/>
      <w:marLeft w:val="0"/>
      <w:marRight w:val="0"/>
      <w:marTop w:val="0"/>
      <w:marBottom w:val="0"/>
      <w:divBdr>
        <w:top w:val="none" w:sz="0" w:space="0" w:color="auto"/>
        <w:left w:val="none" w:sz="0" w:space="0" w:color="auto"/>
        <w:bottom w:val="none" w:sz="0" w:space="0" w:color="auto"/>
        <w:right w:val="none" w:sz="0" w:space="0" w:color="auto"/>
      </w:divBdr>
      <w:divsChild>
        <w:div w:id="545679442">
          <w:marLeft w:val="0"/>
          <w:marRight w:val="0"/>
          <w:marTop w:val="0"/>
          <w:marBottom w:val="0"/>
          <w:divBdr>
            <w:top w:val="none" w:sz="0" w:space="0" w:color="auto"/>
            <w:left w:val="none" w:sz="0" w:space="0" w:color="auto"/>
            <w:bottom w:val="none" w:sz="0" w:space="0" w:color="auto"/>
            <w:right w:val="none" w:sz="0" w:space="0" w:color="auto"/>
          </w:divBdr>
          <w:divsChild>
            <w:div w:id="1771974363">
              <w:marLeft w:val="0"/>
              <w:marRight w:val="0"/>
              <w:marTop w:val="0"/>
              <w:marBottom w:val="0"/>
              <w:divBdr>
                <w:top w:val="none" w:sz="0" w:space="0" w:color="auto"/>
                <w:left w:val="none" w:sz="0" w:space="0" w:color="auto"/>
                <w:bottom w:val="none" w:sz="0" w:space="0" w:color="auto"/>
                <w:right w:val="none" w:sz="0" w:space="0" w:color="auto"/>
              </w:divBdr>
              <w:divsChild>
                <w:div w:id="166127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3066">
      <w:bodyDiv w:val="1"/>
      <w:marLeft w:val="0"/>
      <w:marRight w:val="0"/>
      <w:marTop w:val="0"/>
      <w:marBottom w:val="0"/>
      <w:divBdr>
        <w:top w:val="none" w:sz="0" w:space="0" w:color="auto"/>
        <w:left w:val="none" w:sz="0" w:space="0" w:color="auto"/>
        <w:bottom w:val="none" w:sz="0" w:space="0" w:color="auto"/>
        <w:right w:val="none" w:sz="0" w:space="0" w:color="auto"/>
      </w:divBdr>
      <w:divsChild>
        <w:div w:id="633872658">
          <w:marLeft w:val="0"/>
          <w:marRight w:val="0"/>
          <w:marTop w:val="0"/>
          <w:marBottom w:val="0"/>
          <w:divBdr>
            <w:top w:val="none" w:sz="0" w:space="0" w:color="auto"/>
            <w:left w:val="none" w:sz="0" w:space="0" w:color="auto"/>
            <w:bottom w:val="none" w:sz="0" w:space="0" w:color="auto"/>
            <w:right w:val="none" w:sz="0" w:space="0" w:color="auto"/>
          </w:divBdr>
          <w:divsChild>
            <w:div w:id="89475118">
              <w:marLeft w:val="0"/>
              <w:marRight w:val="0"/>
              <w:marTop w:val="0"/>
              <w:marBottom w:val="0"/>
              <w:divBdr>
                <w:top w:val="none" w:sz="0" w:space="0" w:color="auto"/>
                <w:left w:val="none" w:sz="0" w:space="0" w:color="auto"/>
                <w:bottom w:val="none" w:sz="0" w:space="0" w:color="auto"/>
                <w:right w:val="none" w:sz="0" w:space="0" w:color="auto"/>
              </w:divBdr>
              <w:divsChild>
                <w:div w:id="6565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4826">
      <w:bodyDiv w:val="1"/>
      <w:marLeft w:val="0"/>
      <w:marRight w:val="0"/>
      <w:marTop w:val="0"/>
      <w:marBottom w:val="0"/>
      <w:divBdr>
        <w:top w:val="none" w:sz="0" w:space="0" w:color="auto"/>
        <w:left w:val="none" w:sz="0" w:space="0" w:color="auto"/>
        <w:bottom w:val="none" w:sz="0" w:space="0" w:color="auto"/>
        <w:right w:val="none" w:sz="0" w:space="0" w:color="auto"/>
      </w:divBdr>
    </w:div>
    <w:div w:id="1384787361">
      <w:bodyDiv w:val="1"/>
      <w:marLeft w:val="0"/>
      <w:marRight w:val="0"/>
      <w:marTop w:val="0"/>
      <w:marBottom w:val="0"/>
      <w:divBdr>
        <w:top w:val="none" w:sz="0" w:space="0" w:color="auto"/>
        <w:left w:val="none" w:sz="0" w:space="0" w:color="auto"/>
        <w:bottom w:val="none" w:sz="0" w:space="0" w:color="auto"/>
        <w:right w:val="none" w:sz="0" w:space="0" w:color="auto"/>
      </w:divBdr>
    </w:div>
    <w:div w:id="1424719608">
      <w:bodyDiv w:val="1"/>
      <w:marLeft w:val="0"/>
      <w:marRight w:val="0"/>
      <w:marTop w:val="0"/>
      <w:marBottom w:val="0"/>
      <w:divBdr>
        <w:top w:val="none" w:sz="0" w:space="0" w:color="auto"/>
        <w:left w:val="none" w:sz="0" w:space="0" w:color="auto"/>
        <w:bottom w:val="none" w:sz="0" w:space="0" w:color="auto"/>
        <w:right w:val="none" w:sz="0" w:space="0" w:color="auto"/>
      </w:divBdr>
    </w:div>
    <w:div w:id="1433621580">
      <w:bodyDiv w:val="1"/>
      <w:marLeft w:val="0"/>
      <w:marRight w:val="0"/>
      <w:marTop w:val="0"/>
      <w:marBottom w:val="0"/>
      <w:divBdr>
        <w:top w:val="none" w:sz="0" w:space="0" w:color="auto"/>
        <w:left w:val="none" w:sz="0" w:space="0" w:color="auto"/>
        <w:bottom w:val="none" w:sz="0" w:space="0" w:color="auto"/>
        <w:right w:val="none" w:sz="0" w:space="0" w:color="auto"/>
      </w:divBdr>
    </w:div>
    <w:div w:id="1520197484">
      <w:bodyDiv w:val="1"/>
      <w:marLeft w:val="0"/>
      <w:marRight w:val="0"/>
      <w:marTop w:val="0"/>
      <w:marBottom w:val="0"/>
      <w:divBdr>
        <w:top w:val="none" w:sz="0" w:space="0" w:color="auto"/>
        <w:left w:val="none" w:sz="0" w:space="0" w:color="auto"/>
        <w:bottom w:val="none" w:sz="0" w:space="0" w:color="auto"/>
        <w:right w:val="none" w:sz="0" w:space="0" w:color="auto"/>
      </w:divBdr>
      <w:divsChild>
        <w:div w:id="267665181">
          <w:marLeft w:val="0"/>
          <w:marRight w:val="0"/>
          <w:marTop w:val="0"/>
          <w:marBottom w:val="0"/>
          <w:divBdr>
            <w:top w:val="none" w:sz="0" w:space="0" w:color="auto"/>
            <w:left w:val="none" w:sz="0" w:space="0" w:color="auto"/>
            <w:bottom w:val="none" w:sz="0" w:space="0" w:color="auto"/>
            <w:right w:val="none" w:sz="0" w:space="0" w:color="auto"/>
          </w:divBdr>
          <w:divsChild>
            <w:div w:id="398869422">
              <w:marLeft w:val="0"/>
              <w:marRight w:val="0"/>
              <w:marTop w:val="0"/>
              <w:marBottom w:val="0"/>
              <w:divBdr>
                <w:top w:val="none" w:sz="0" w:space="0" w:color="auto"/>
                <w:left w:val="none" w:sz="0" w:space="0" w:color="auto"/>
                <w:bottom w:val="none" w:sz="0" w:space="0" w:color="auto"/>
                <w:right w:val="none" w:sz="0" w:space="0" w:color="auto"/>
              </w:divBdr>
              <w:divsChild>
                <w:div w:id="9666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04401">
      <w:bodyDiv w:val="1"/>
      <w:marLeft w:val="0"/>
      <w:marRight w:val="0"/>
      <w:marTop w:val="0"/>
      <w:marBottom w:val="0"/>
      <w:divBdr>
        <w:top w:val="none" w:sz="0" w:space="0" w:color="auto"/>
        <w:left w:val="none" w:sz="0" w:space="0" w:color="auto"/>
        <w:bottom w:val="none" w:sz="0" w:space="0" w:color="auto"/>
        <w:right w:val="none" w:sz="0" w:space="0" w:color="auto"/>
      </w:divBdr>
      <w:divsChild>
        <w:div w:id="914777755">
          <w:marLeft w:val="0"/>
          <w:marRight w:val="0"/>
          <w:marTop w:val="0"/>
          <w:marBottom w:val="0"/>
          <w:divBdr>
            <w:top w:val="none" w:sz="0" w:space="0" w:color="auto"/>
            <w:left w:val="none" w:sz="0" w:space="0" w:color="auto"/>
            <w:bottom w:val="none" w:sz="0" w:space="0" w:color="auto"/>
            <w:right w:val="none" w:sz="0" w:space="0" w:color="auto"/>
          </w:divBdr>
          <w:divsChild>
            <w:div w:id="314842445">
              <w:marLeft w:val="0"/>
              <w:marRight w:val="0"/>
              <w:marTop w:val="0"/>
              <w:marBottom w:val="0"/>
              <w:divBdr>
                <w:top w:val="none" w:sz="0" w:space="0" w:color="auto"/>
                <w:left w:val="none" w:sz="0" w:space="0" w:color="auto"/>
                <w:bottom w:val="none" w:sz="0" w:space="0" w:color="auto"/>
                <w:right w:val="none" w:sz="0" w:space="0" w:color="auto"/>
              </w:divBdr>
              <w:divsChild>
                <w:div w:id="7042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cua.gov/GenInfo/BoardandAction/DraftBoardActions/index.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00EE-C51A-4247-82F8-22D22AE4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Fiscal Years 2007/2008 Operating Budgets</vt:lpstr>
    </vt:vector>
  </TitlesOfParts>
  <Company>CUNA</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Years 2007/2008 Operating Budgets</dc:title>
  <dc:subject/>
  <dc:creator>Information Technology</dc:creator>
  <cp:keywords/>
  <dc:description/>
  <cp:lastModifiedBy>Grace Sanchez</cp:lastModifiedBy>
  <cp:revision>5</cp:revision>
  <cp:lastPrinted>2011-06-17T15:54:00Z</cp:lastPrinted>
  <dcterms:created xsi:type="dcterms:W3CDTF">2011-06-29T18:20:00Z</dcterms:created>
  <dcterms:modified xsi:type="dcterms:W3CDTF">2011-06-29T18:56:00Z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